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6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3"/>
      </w:tblGrid>
      <w:tr w:rsidR="008E5C8D" w:rsidRPr="00740FAD" w:rsidTr="000879D0">
        <w:trPr>
          <w:cantSplit/>
          <w:trHeight w:val="1138"/>
        </w:trPr>
        <w:tc>
          <w:tcPr>
            <w:tcW w:w="7363" w:type="dxa"/>
            <w:shd w:val="clear" w:color="auto" w:fill="auto"/>
          </w:tcPr>
          <w:p w:rsidR="007650DF" w:rsidRPr="00740FAD" w:rsidRDefault="00AB7258" w:rsidP="00F411C4">
            <w:pPr>
              <w:pStyle w:val="DokumentOverskrift"/>
              <w:spacing w:before="40"/>
            </w:pPr>
            <w:sdt>
              <w:sdtPr>
                <w:tag w:val="?=vDokumentOverskrift"/>
                <w:id w:val="-1198161942"/>
                <w:placeholder>
                  <w:docPart w:val="ED2C5C193071452B8E45EBC471EC2FFA"/>
                </w:placeholder>
              </w:sdtPr>
              <w:sdtEndPr/>
              <w:sdtContent>
                <w:r w:rsidR="002E1A80">
                  <w:t>Aftale</w:t>
                </w:r>
                <w:r w:rsidR="00F411C4" w:rsidRPr="00740FAD">
                  <w:t xml:space="preserve"> om u</w:t>
                </w:r>
                <w:r w:rsidR="002E6F19">
                  <w:t>dmøntning af satspuljen for 2018</w:t>
                </w:r>
                <w:r w:rsidR="00F411C4" w:rsidRPr="00740FAD">
                  <w:t xml:space="preserve"> på b</w:t>
                </w:r>
                <w:r w:rsidR="00F411C4" w:rsidRPr="00740FAD">
                  <w:t>e</w:t>
                </w:r>
                <w:r w:rsidR="00F411C4" w:rsidRPr="00740FAD">
                  <w:t>skæftigelsesområdet</w:t>
                </w:r>
              </w:sdtContent>
            </w:sdt>
            <w:r w:rsidR="006419B5" w:rsidRPr="00740FAD">
              <w:t xml:space="preserve"> </w:t>
            </w:r>
          </w:p>
        </w:tc>
      </w:tr>
      <w:tr w:rsidR="00AA4747" w:rsidRPr="00740FAD" w:rsidTr="000879D0">
        <w:trPr>
          <w:cantSplit/>
          <w:trHeight w:val="335"/>
        </w:trPr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747" w:rsidRPr="008C0347" w:rsidRDefault="00AA4747" w:rsidP="008C0347">
            <w:pPr>
              <w:pStyle w:val="DokumentUnderOverskrift"/>
              <w:jc w:val="center"/>
              <w:rPr>
                <w:b/>
              </w:rPr>
            </w:pPr>
          </w:p>
        </w:tc>
      </w:tr>
      <w:tr w:rsidR="008E5C8D" w:rsidRPr="00740FAD" w:rsidTr="00C83000">
        <w:trPr>
          <w:cantSplit/>
          <w:trHeight w:hRule="exact" w:val="454"/>
        </w:trPr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</w:tcPr>
          <w:p w:rsidR="008E5C8D" w:rsidRPr="00740FAD" w:rsidRDefault="008E5C8D" w:rsidP="00CA4118"/>
        </w:tc>
      </w:tr>
    </w:tbl>
    <w:p w:rsidR="00F411C4" w:rsidRPr="00740FAD" w:rsidRDefault="00F411C4" w:rsidP="00F411C4">
      <w:pPr>
        <w:pStyle w:val="BMBrdtekst"/>
        <w:rPr>
          <w:szCs w:val="22"/>
        </w:rPr>
      </w:pPr>
      <w:r w:rsidRPr="00740FAD">
        <w:rPr>
          <w:szCs w:val="22"/>
        </w:rPr>
        <w:t xml:space="preserve">Beskæftigelsesministeren har indgået en aftale ved de decentrale forhandlinger med beskæftigelsesordførerne fra </w:t>
      </w:r>
      <w:r w:rsidR="0057512A">
        <w:rPr>
          <w:szCs w:val="22"/>
        </w:rPr>
        <w:t xml:space="preserve">Socialdemokratiet, Dansk Folkeparti, </w:t>
      </w:r>
      <w:r w:rsidRPr="00740FAD">
        <w:rPr>
          <w:szCs w:val="22"/>
        </w:rPr>
        <w:t>Venstre,</w:t>
      </w:r>
      <w:r w:rsidR="007756E1">
        <w:rPr>
          <w:szCs w:val="22"/>
        </w:rPr>
        <w:t xml:space="preserve"> Lib</w:t>
      </w:r>
      <w:bookmarkStart w:id="0" w:name="_GoBack"/>
      <w:bookmarkEnd w:id="0"/>
      <w:r w:rsidR="007756E1">
        <w:rPr>
          <w:szCs w:val="22"/>
        </w:rPr>
        <w:t>eral Alliance</w:t>
      </w:r>
      <w:r w:rsidR="0057512A">
        <w:rPr>
          <w:szCs w:val="22"/>
        </w:rPr>
        <w:t>, Alternativet, Det Radikale Venstre, Socialistisk Folkeparti</w:t>
      </w:r>
      <w:r w:rsidR="007756E1">
        <w:rPr>
          <w:szCs w:val="22"/>
        </w:rPr>
        <w:t xml:space="preserve"> og Det Konservative Folkeparti</w:t>
      </w:r>
      <w:r w:rsidR="007756E1" w:rsidRPr="00740FAD">
        <w:rPr>
          <w:szCs w:val="22"/>
        </w:rPr>
        <w:t xml:space="preserve"> </w:t>
      </w:r>
      <w:r w:rsidRPr="00740FAD">
        <w:rPr>
          <w:szCs w:val="22"/>
        </w:rPr>
        <w:t>om u</w:t>
      </w:r>
      <w:r w:rsidR="002E6F19">
        <w:rPr>
          <w:szCs w:val="22"/>
        </w:rPr>
        <w:t>dmøntning af satspuljen for 2018</w:t>
      </w:r>
      <w:r w:rsidRPr="00740FAD">
        <w:rPr>
          <w:szCs w:val="22"/>
        </w:rPr>
        <w:t xml:space="preserve"> på beskæftigelse</w:t>
      </w:r>
      <w:r w:rsidRPr="00740FAD">
        <w:rPr>
          <w:szCs w:val="22"/>
        </w:rPr>
        <w:t>s</w:t>
      </w:r>
      <w:r w:rsidRPr="00740FAD">
        <w:rPr>
          <w:szCs w:val="22"/>
        </w:rPr>
        <w:t xml:space="preserve">området. </w:t>
      </w:r>
    </w:p>
    <w:p w:rsidR="00F411C4" w:rsidRPr="00740FAD" w:rsidRDefault="00F411C4" w:rsidP="00F411C4">
      <w:pPr>
        <w:pStyle w:val="BMBrdtekst"/>
        <w:rPr>
          <w:szCs w:val="22"/>
        </w:rPr>
      </w:pPr>
    </w:p>
    <w:p w:rsidR="00F411C4" w:rsidRPr="00740FAD" w:rsidRDefault="00F411C4" w:rsidP="00F411C4">
      <w:pPr>
        <w:pStyle w:val="BMBrdtekst"/>
        <w:rPr>
          <w:szCs w:val="22"/>
        </w:rPr>
      </w:pPr>
      <w:r w:rsidRPr="00740FAD">
        <w:rPr>
          <w:szCs w:val="22"/>
        </w:rPr>
        <w:t>Med af</w:t>
      </w:r>
      <w:r w:rsidR="002E6F19">
        <w:rPr>
          <w:szCs w:val="22"/>
        </w:rPr>
        <w:t>talen udmøntes i alt 9</w:t>
      </w:r>
      <w:r w:rsidR="000C4CA5">
        <w:rPr>
          <w:szCs w:val="22"/>
        </w:rPr>
        <w:t>51</w:t>
      </w:r>
      <w:r w:rsidR="002E6F19">
        <w:rPr>
          <w:szCs w:val="22"/>
        </w:rPr>
        <w:t>,3</w:t>
      </w:r>
      <w:r w:rsidRPr="00740FAD">
        <w:rPr>
          <w:szCs w:val="22"/>
        </w:rPr>
        <w:t xml:space="preserve"> mio. kr</w:t>
      </w:r>
      <w:r w:rsidR="002E6F19">
        <w:rPr>
          <w:szCs w:val="22"/>
        </w:rPr>
        <w:t>. fra satspuljen fordelt med 20</w:t>
      </w:r>
      <w:r w:rsidR="000C4CA5">
        <w:rPr>
          <w:szCs w:val="22"/>
        </w:rPr>
        <w:t>4</w:t>
      </w:r>
      <w:r w:rsidR="002E6F19">
        <w:rPr>
          <w:szCs w:val="22"/>
        </w:rPr>
        <w:t>,8 mio. kr. i 2018, 20</w:t>
      </w:r>
      <w:r w:rsidR="007363DF">
        <w:rPr>
          <w:szCs w:val="22"/>
        </w:rPr>
        <w:t>4</w:t>
      </w:r>
      <w:r w:rsidR="002E6F19">
        <w:rPr>
          <w:szCs w:val="22"/>
        </w:rPr>
        <w:t>,4 mio. kr. i 2019, 2</w:t>
      </w:r>
      <w:r w:rsidR="000C4CA5">
        <w:rPr>
          <w:szCs w:val="22"/>
        </w:rPr>
        <w:t>67</w:t>
      </w:r>
      <w:r w:rsidR="002E6F19">
        <w:rPr>
          <w:szCs w:val="22"/>
        </w:rPr>
        <w:t>,9</w:t>
      </w:r>
      <w:r w:rsidRPr="00740FAD">
        <w:rPr>
          <w:szCs w:val="22"/>
        </w:rPr>
        <w:t xml:space="preserve"> mio. kr. i</w:t>
      </w:r>
      <w:r w:rsidR="002E6F19">
        <w:rPr>
          <w:szCs w:val="22"/>
        </w:rPr>
        <w:t xml:space="preserve"> 2020 og 27</w:t>
      </w:r>
      <w:r w:rsidR="000C4CA5">
        <w:rPr>
          <w:szCs w:val="22"/>
        </w:rPr>
        <w:t>4</w:t>
      </w:r>
      <w:r w:rsidR="002E6F19">
        <w:rPr>
          <w:szCs w:val="22"/>
        </w:rPr>
        <w:t>,2 mio. kr. i 2021</w:t>
      </w:r>
      <w:r w:rsidR="000D4EBC" w:rsidRPr="00740FAD">
        <w:rPr>
          <w:szCs w:val="22"/>
        </w:rPr>
        <w:t>, jf. tabel 1 nedenfor.</w:t>
      </w:r>
      <w:r w:rsidR="003A6C66">
        <w:rPr>
          <w:szCs w:val="22"/>
        </w:rPr>
        <w:t xml:space="preserve"> </w:t>
      </w:r>
      <w:r w:rsidR="003A6C66" w:rsidRPr="003A6C66">
        <w:rPr>
          <w:szCs w:val="22"/>
        </w:rPr>
        <w:t xml:space="preserve">Aftalepartierne </w:t>
      </w:r>
      <w:r w:rsidR="003A6C66">
        <w:rPr>
          <w:szCs w:val="22"/>
        </w:rPr>
        <w:t xml:space="preserve">inddrages i den </w:t>
      </w:r>
      <w:r w:rsidR="003A6C66" w:rsidRPr="003A6C66">
        <w:rPr>
          <w:szCs w:val="22"/>
        </w:rPr>
        <w:t>endelige udmøntning af aftalens initiativer.</w:t>
      </w:r>
    </w:p>
    <w:p w:rsidR="00F411C4" w:rsidRPr="00740FAD" w:rsidRDefault="00F411C4" w:rsidP="00F411C4">
      <w:pPr>
        <w:pStyle w:val="BMBrdtekst"/>
        <w:rPr>
          <w:b/>
          <w:szCs w:val="22"/>
        </w:rPr>
      </w:pPr>
    </w:p>
    <w:p w:rsidR="00FD024B" w:rsidRDefault="00076F07" w:rsidP="00C5739F">
      <w:pPr>
        <w:rPr>
          <w:rFonts w:eastAsiaTheme="majorEastAsia"/>
          <w:bCs/>
          <w:i/>
          <w:sz w:val="22"/>
          <w:szCs w:val="22"/>
          <w:lang w:eastAsia="en-US"/>
        </w:rPr>
      </w:pPr>
      <w:r>
        <w:rPr>
          <w:rFonts w:eastAsiaTheme="majorEastAsia"/>
          <w:bCs/>
          <w:i/>
          <w:sz w:val="22"/>
          <w:szCs w:val="22"/>
          <w:lang w:eastAsia="en-US"/>
        </w:rPr>
        <w:t>Investering i</w:t>
      </w:r>
      <w:r w:rsidR="00FD024B" w:rsidRPr="00FD024B">
        <w:rPr>
          <w:rFonts w:eastAsiaTheme="majorEastAsia"/>
          <w:bCs/>
          <w:i/>
          <w:sz w:val="22"/>
          <w:szCs w:val="22"/>
          <w:lang w:eastAsia="en-US"/>
        </w:rPr>
        <w:t xml:space="preserve"> </w:t>
      </w:r>
      <w:r w:rsidR="00FD024B">
        <w:rPr>
          <w:rFonts w:eastAsiaTheme="majorEastAsia"/>
          <w:bCs/>
          <w:i/>
          <w:sz w:val="22"/>
          <w:szCs w:val="22"/>
          <w:lang w:eastAsia="en-US"/>
        </w:rPr>
        <w:t>udsatte</w:t>
      </w:r>
      <w:r>
        <w:rPr>
          <w:rFonts w:eastAsiaTheme="majorEastAsia"/>
          <w:bCs/>
          <w:i/>
          <w:sz w:val="22"/>
          <w:szCs w:val="22"/>
          <w:lang w:eastAsia="en-US"/>
        </w:rPr>
        <w:t xml:space="preserve"> og syge</w:t>
      </w:r>
      <w:r w:rsidR="00FD024B">
        <w:rPr>
          <w:rFonts w:eastAsiaTheme="majorEastAsia"/>
          <w:bCs/>
          <w:i/>
          <w:sz w:val="22"/>
          <w:szCs w:val="22"/>
          <w:lang w:eastAsia="en-US"/>
        </w:rPr>
        <w:t xml:space="preserve"> </w:t>
      </w:r>
      <w:r w:rsidR="00FD024B" w:rsidRPr="00FD024B">
        <w:rPr>
          <w:rFonts w:eastAsiaTheme="majorEastAsia"/>
          <w:bCs/>
          <w:i/>
          <w:sz w:val="22"/>
          <w:szCs w:val="22"/>
          <w:lang w:eastAsia="en-US"/>
        </w:rPr>
        <w:t>borgere</w:t>
      </w:r>
      <w:r>
        <w:rPr>
          <w:rFonts w:eastAsiaTheme="majorEastAsia"/>
          <w:bCs/>
          <w:i/>
          <w:sz w:val="22"/>
          <w:szCs w:val="22"/>
          <w:lang w:eastAsia="en-US"/>
        </w:rPr>
        <w:t xml:space="preserve"> på kanten af arbejdsmarkedet – Flere skal med 2</w:t>
      </w:r>
      <w:r w:rsidR="00FD024B" w:rsidRPr="00FD024B">
        <w:rPr>
          <w:rFonts w:eastAsiaTheme="majorEastAsia"/>
          <w:bCs/>
          <w:i/>
          <w:sz w:val="22"/>
          <w:szCs w:val="22"/>
          <w:lang w:eastAsia="en-US"/>
        </w:rPr>
        <w:t xml:space="preserve"> </w:t>
      </w:r>
    </w:p>
    <w:p w:rsidR="009312F8" w:rsidRPr="00044B3B" w:rsidRDefault="00C5739F" w:rsidP="00044B3B">
      <w:pPr>
        <w:rPr>
          <w:sz w:val="22"/>
          <w:szCs w:val="22"/>
        </w:rPr>
      </w:pPr>
      <w:r w:rsidRPr="00512B10">
        <w:rPr>
          <w:sz w:val="22"/>
          <w:szCs w:val="22"/>
        </w:rPr>
        <w:t xml:space="preserve">Aftalepartierne er enige om at afsætte </w:t>
      </w:r>
      <w:r w:rsidR="00535605">
        <w:rPr>
          <w:sz w:val="22"/>
          <w:szCs w:val="22"/>
        </w:rPr>
        <w:t xml:space="preserve">87,5 </w:t>
      </w:r>
      <w:r w:rsidR="00103D99" w:rsidRPr="00512B10">
        <w:rPr>
          <w:sz w:val="22"/>
          <w:szCs w:val="22"/>
        </w:rPr>
        <w:t>mio. kr. i perioden 2018</w:t>
      </w:r>
      <w:r w:rsidR="00D956D8">
        <w:rPr>
          <w:sz w:val="22"/>
          <w:szCs w:val="22"/>
        </w:rPr>
        <w:t>-</w:t>
      </w:r>
      <w:r w:rsidRPr="00512B10">
        <w:rPr>
          <w:sz w:val="22"/>
          <w:szCs w:val="22"/>
        </w:rPr>
        <w:t>20</w:t>
      </w:r>
      <w:r w:rsidR="00103D99" w:rsidRPr="00512B10">
        <w:rPr>
          <w:sz w:val="22"/>
          <w:szCs w:val="22"/>
        </w:rPr>
        <w:t>21</w:t>
      </w:r>
      <w:r w:rsidRPr="00512B10">
        <w:rPr>
          <w:sz w:val="22"/>
          <w:szCs w:val="22"/>
        </w:rPr>
        <w:t xml:space="preserve"> til </w:t>
      </w:r>
      <w:r w:rsidR="003A6C66">
        <w:rPr>
          <w:sz w:val="22"/>
          <w:szCs w:val="22"/>
        </w:rPr>
        <w:t>en indsats</w:t>
      </w:r>
      <w:r w:rsidR="005C5B14" w:rsidRPr="00512B10">
        <w:rPr>
          <w:sz w:val="22"/>
          <w:szCs w:val="22"/>
        </w:rPr>
        <w:t xml:space="preserve">, der skal hjælpe </w:t>
      </w:r>
      <w:r w:rsidR="007843CC">
        <w:rPr>
          <w:sz w:val="22"/>
          <w:szCs w:val="22"/>
        </w:rPr>
        <w:t xml:space="preserve">de mest </w:t>
      </w:r>
      <w:r w:rsidR="00977E2B">
        <w:rPr>
          <w:sz w:val="22"/>
          <w:szCs w:val="22"/>
        </w:rPr>
        <w:t>syge og udsatte</w:t>
      </w:r>
      <w:r w:rsidR="005C5B14" w:rsidRPr="00512B10">
        <w:rPr>
          <w:sz w:val="22"/>
          <w:szCs w:val="22"/>
        </w:rPr>
        <w:t xml:space="preserve"> kontanthjælpsmodtagere</w:t>
      </w:r>
      <w:r w:rsidR="007843CC">
        <w:rPr>
          <w:sz w:val="22"/>
          <w:szCs w:val="22"/>
        </w:rPr>
        <w:t xml:space="preserve"> </w:t>
      </w:r>
      <w:r w:rsidR="00F3472F">
        <w:rPr>
          <w:sz w:val="22"/>
          <w:szCs w:val="22"/>
        </w:rPr>
        <w:t xml:space="preserve">samt </w:t>
      </w:r>
      <w:r w:rsidR="00850B18">
        <w:rPr>
          <w:sz w:val="22"/>
          <w:szCs w:val="22"/>
        </w:rPr>
        <w:t>bo</w:t>
      </w:r>
      <w:r w:rsidR="00850B18">
        <w:rPr>
          <w:sz w:val="22"/>
          <w:szCs w:val="22"/>
        </w:rPr>
        <w:t>r</w:t>
      </w:r>
      <w:r w:rsidR="00850B18">
        <w:rPr>
          <w:sz w:val="22"/>
          <w:szCs w:val="22"/>
        </w:rPr>
        <w:t xml:space="preserve">gere på ressourceforløb. </w:t>
      </w:r>
      <w:r w:rsidR="008468E9">
        <w:rPr>
          <w:sz w:val="22"/>
          <w:szCs w:val="22"/>
        </w:rPr>
        <w:t>I</w:t>
      </w:r>
      <w:r w:rsidR="005C5B14" w:rsidRPr="00512B10">
        <w:rPr>
          <w:sz w:val="22"/>
          <w:szCs w:val="22"/>
        </w:rPr>
        <w:t xml:space="preserve">ndsatsen igangsættes </w:t>
      </w:r>
      <w:r w:rsidR="00242F24">
        <w:rPr>
          <w:sz w:val="22"/>
          <w:szCs w:val="22"/>
        </w:rPr>
        <w:t xml:space="preserve">med kommunal medfinansiering </w:t>
      </w:r>
      <w:r w:rsidR="005C5B14" w:rsidRPr="00512B10">
        <w:rPr>
          <w:sz w:val="22"/>
          <w:szCs w:val="22"/>
        </w:rPr>
        <w:t>ud fra en investeringstankegang og praksis i kommunen</w:t>
      </w:r>
      <w:r w:rsidR="00F3472F">
        <w:rPr>
          <w:sz w:val="22"/>
          <w:szCs w:val="22"/>
        </w:rPr>
        <w:t xml:space="preserve"> bl.a. med fokus på</w:t>
      </w:r>
      <w:r w:rsidR="008468E9">
        <w:rPr>
          <w:sz w:val="22"/>
          <w:szCs w:val="22"/>
        </w:rPr>
        <w:t xml:space="preserve"> </w:t>
      </w:r>
      <w:r w:rsidR="00977E2B" w:rsidRPr="00044B3B">
        <w:rPr>
          <w:sz w:val="22"/>
          <w:szCs w:val="22"/>
        </w:rPr>
        <w:t xml:space="preserve">at håndtere de </w:t>
      </w:r>
      <w:r w:rsidR="005828B5">
        <w:rPr>
          <w:sz w:val="22"/>
          <w:szCs w:val="22"/>
        </w:rPr>
        <w:t xml:space="preserve">forskelligartede </w:t>
      </w:r>
      <w:r w:rsidR="00977E2B" w:rsidRPr="00044B3B">
        <w:rPr>
          <w:sz w:val="22"/>
          <w:szCs w:val="22"/>
        </w:rPr>
        <w:t>udfordringer, der kan stå i vejen for at få fodfæste på arbejd</w:t>
      </w:r>
      <w:r w:rsidR="00977E2B" w:rsidRPr="00044B3B">
        <w:rPr>
          <w:sz w:val="22"/>
          <w:szCs w:val="22"/>
        </w:rPr>
        <w:t>s</w:t>
      </w:r>
      <w:r w:rsidR="00977E2B" w:rsidRPr="00044B3B">
        <w:rPr>
          <w:sz w:val="22"/>
          <w:szCs w:val="22"/>
        </w:rPr>
        <w:t>markedet</w:t>
      </w:r>
      <w:r w:rsidR="009312F8" w:rsidRPr="00044B3B">
        <w:rPr>
          <w:sz w:val="22"/>
          <w:szCs w:val="22"/>
        </w:rPr>
        <w:t>.</w:t>
      </w:r>
    </w:p>
    <w:p w:rsidR="009312F8" w:rsidRDefault="009312F8" w:rsidP="00A27033">
      <w:pPr>
        <w:rPr>
          <w:color w:val="FF0000"/>
          <w:sz w:val="22"/>
          <w:szCs w:val="22"/>
        </w:rPr>
      </w:pPr>
    </w:p>
    <w:p w:rsidR="00EE71A5" w:rsidRPr="0057512A" w:rsidRDefault="00EE71A5" w:rsidP="00A27033">
      <w:pPr>
        <w:rPr>
          <w:sz w:val="22"/>
          <w:szCs w:val="22"/>
        </w:rPr>
      </w:pPr>
      <w:r w:rsidRPr="0057512A">
        <w:rPr>
          <w:sz w:val="22"/>
          <w:szCs w:val="22"/>
        </w:rPr>
        <w:t>Aftale</w:t>
      </w:r>
      <w:r w:rsidR="00FA14CC" w:rsidRPr="0057512A">
        <w:rPr>
          <w:sz w:val="22"/>
          <w:szCs w:val="22"/>
        </w:rPr>
        <w:t>partierne skal februar</w:t>
      </w:r>
      <w:r w:rsidRPr="0057512A">
        <w:rPr>
          <w:sz w:val="22"/>
          <w:szCs w:val="22"/>
        </w:rPr>
        <w:t xml:space="preserve"> 2018 </w:t>
      </w:r>
      <w:r w:rsidR="00FA14CC" w:rsidRPr="0057512A">
        <w:rPr>
          <w:sz w:val="22"/>
          <w:szCs w:val="22"/>
        </w:rPr>
        <w:t>drøfte</w:t>
      </w:r>
      <w:r w:rsidRPr="0057512A">
        <w:rPr>
          <w:sz w:val="22"/>
          <w:szCs w:val="22"/>
        </w:rPr>
        <w:t xml:space="preserve"> den konkrete udmøntning af projektet.</w:t>
      </w:r>
    </w:p>
    <w:p w:rsidR="00EE71A5" w:rsidRDefault="00EE71A5" w:rsidP="00A27033">
      <w:pPr>
        <w:rPr>
          <w:color w:val="FF0000"/>
          <w:sz w:val="22"/>
          <w:szCs w:val="22"/>
        </w:rPr>
      </w:pPr>
    </w:p>
    <w:p w:rsidR="00FA14CC" w:rsidRDefault="00F3472F" w:rsidP="00A27033">
      <w:pPr>
        <w:rPr>
          <w:sz w:val="22"/>
          <w:szCs w:val="22"/>
        </w:rPr>
      </w:pPr>
      <w:r w:rsidRPr="00784133">
        <w:rPr>
          <w:sz w:val="22"/>
          <w:szCs w:val="22"/>
        </w:rPr>
        <w:t xml:space="preserve">Aftalepartierne er </w:t>
      </w:r>
      <w:r>
        <w:rPr>
          <w:sz w:val="22"/>
          <w:szCs w:val="22"/>
        </w:rPr>
        <w:t xml:space="preserve">endvidere </w:t>
      </w:r>
      <w:r w:rsidRPr="00784133">
        <w:rPr>
          <w:sz w:val="22"/>
          <w:szCs w:val="22"/>
        </w:rPr>
        <w:t xml:space="preserve">enige om </w:t>
      </w:r>
      <w:r w:rsidR="00FA14CC">
        <w:rPr>
          <w:sz w:val="22"/>
          <w:szCs w:val="22"/>
        </w:rPr>
        <w:t xml:space="preserve">i januar 2018 </w:t>
      </w:r>
      <w:r w:rsidRPr="00784133">
        <w:rPr>
          <w:sz w:val="22"/>
          <w:szCs w:val="22"/>
        </w:rPr>
        <w:t>at drøfte, hvordan der kan etableres yderligere forsøg med rimelighedskravet og omfanget af aktivering for udsatte på kontanthjælp, der er fritaget for 225-timers reglen, ressourceforløbsyde</w:t>
      </w:r>
      <w:r w:rsidRPr="00784133">
        <w:rPr>
          <w:sz w:val="22"/>
          <w:szCs w:val="22"/>
        </w:rPr>
        <w:t>l</w:t>
      </w:r>
      <w:r w:rsidRPr="00784133">
        <w:rPr>
          <w:sz w:val="22"/>
          <w:szCs w:val="22"/>
        </w:rPr>
        <w:t xml:space="preserve">se og ledighedsydelse, når de er på en virksomhed, der er registreret og opfylder de ved lov fastsatte krav </w:t>
      </w:r>
      <w:r w:rsidRPr="00F3472F">
        <w:rPr>
          <w:sz w:val="22"/>
          <w:szCs w:val="22"/>
        </w:rPr>
        <w:t>som socialøkonomisk virksomhed.</w:t>
      </w:r>
      <w:r w:rsidR="00C87F81">
        <w:rPr>
          <w:sz w:val="22"/>
          <w:szCs w:val="22"/>
        </w:rPr>
        <w:t xml:space="preserve"> </w:t>
      </w:r>
      <w:r w:rsidR="00FA14CC">
        <w:rPr>
          <w:sz w:val="22"/>
          <w:szCs w:val="22"/>
        </w:rPr>
        <w:t>Der skal i den forbindelse ses på urimelige barrierer for offentlige og private virksomheders arbejde med at inkludere udsatte borgere.</w:t>
      </w:r>
    </w:p>
    <w:p w:rsidR="00F3472F" w:rsidRDefault="00F3472F" w:rsidP="00A27033">
      <w:pPr>
        <w:rPr>
          <w:color w:val="FF0000"/>
          <w:sz w:val="22"/>
          <w:szCs w:val="22"/>
        </w:rPr>
      </w:pPr>
    </w:p>
    <w:p w:rsidR="00FB040A" w:rsidRPr="000D6A63" w:rsidRDefault="00FB040A" w:rsidP="00FB040A">
      <w:pPr>
        <w:pStyle w:val="BMBrdtekst"/>
        <w:rPr>
          <w:i/>
          <w:szCs w:val="22"/>
        </w:rPr>
      </w:pPr>
      <w:r w:rsidRPr="000D6A63">
        <w:rPr>
          <w:i/>
          <w:szCs w:val="22"/>
        </w:rPr>
        <w:t>Private projekter</w:t>
      </w:r>
    </w:p>
    <w:p w:rsidR="00FB040A" w:rsidRDefault="00FB040A" w:rsidP="00FB040A">
      <w:pPr>
        <w:jc w:val="both"/>
        <w:rPr>
          <w:sz w:val="22"/>
          <w:szCs w:val="22"/>
        </w:rPr>
      </w:pPr>
      <w:r w:rsidRPr="00740FAD">
        <w:rPr>
          <w:sz w:val="22"/>
          <w:szCs w:val="22"/>
        </w:rPr>
        <w:t xml:space="preserve">Aftalepartierne er enige om </w:t>
      </w:r>
      <w:r>
        <w:rPr>
          <w:sz w:val="22"/>
          <w:szCs w:val="22"/>
        </w:rPr>
        <w:t xml:space="preserve">at prioritere </w:t>
      </w:r>
      <w:r w:rsidR="00324726">
        <w:rPr>
          <w:sz w:val="22"/>
          <w:szCs w:val="22"/>
        </w:rPr>
        <w:t xml:space="preserve">i alt 72,5 mio. kr. til </w:t>
      </w:r>
      <w:r>
        <w:rPr>
          <w:sz w:val="22"/>
          <w:szCs w:val="22"/>
        </w:rPr>
        <w:t xml:space="preserve">en videreførelse af </w:t>
      </w:r>
      <w:r w:rsidR="00F3472F">
        <w:rPr>
          <w:sz w:val="22"/>
          <w:szCs w:val="22"/>
        </w:rPr>
        <w:t xml:space="preserve">følgende </w:t>
      </w:r>
      <w:r>
        <w:rPr>
          <w:sz w:val="22"/>
          <w:szCs w:val="22"/>
        </w:rPr>
        <w:t>initiativer:</w:t>
      </w:r>
    </w:p>
    <w:p w:rsidR="00FB040A" w:rsidRDefault="00FB040A" w:rsidP="00FB040A">
      <w:pPr>
        <w:jc w:val="both"/>
        <w:rPr>
          <w:sz w:val="22"/>
          <w:szCs w:val="22"/>
        </w:rPr>
      </w:pPr>
    </w:p>
    <w:p w:rsidR="00F3472F" w:rsidRDefault="00044B3B" w:rsidP="00F3472F">
      <w:pPr>
        <w:pStyle w:val="Listeafsnit"/>
        <w:numPr>
          <w:ilvl w:val="0"/>
          <w:numId w:val="9"/>
        </w:numPr>
        <w:jc w:val="both"/>
      </w:pPr>
      <w:r>
        <w:t xml:space="preserve">Seniornetværk </w:t>
      </w:r>
    </w:p>
    <w:p w:rsidR="004D08E1" w:rsidRDefault="00044B3B">
      <w:pPr>
        <w:pStyle w:val="Listeafsnit"/>
        <w:numPr>
          <w:ilvl w:val="0"/>
          <w:numId w:val="9"/>
        </w:numPr>
        <w:jc w:val="both"/>
      </w:pPr>
      <w:r w:rsidRPr="004D08E1">
        <w:t xml:space="preserve">Landsforeningen Lev </w:t>
      </w:r>
    </w:p>
    <w:p w:rsidR="004D08E1" w:rsidRPr="007D1F17" w:rsidRDefault="00044B3B" w:rsidP="009E2449">
      <w:pPr>
        <w:pStyle w:val="Listeafsnit"/>
        <w:numPr>
          <w:ilvl w:val="0"/>
          <w:numId w:val="9"/>
        </w:numPr>
        <w:jc w:val="both"/>
      </w:pPr>
      <w:r>
        <w:t>Jobbank</w:t>
      </w:r>
      <w:r w:rsidRPr="004D08E1">
        <w:t xml:space="preserve"> </w:t>
      </w:r>
    </w:p>
    <w:p w:rsidR="004D08E1" w:rsidRPr="00044B3B" w:rsidRDefault="00044B3B" w:rsidP="004D08E1">
      <w:pPr>
        <w:pStyle w:val="Listeafsnit"/>
        <w:numPr>
          <w:ilvl w:val="0"/>
          <w:numId w:val="9"/>
        </w:numPr>
        <w:jc w:val="both"/>
      </w:pPr>
      <w:r w:rsidRPr="004D08E1">
        <w:t xml:space="preserve">Handicapidrættens </w:t>
      </w:r>
      <w:proofErr w:type="spellStart"/>
      <w:r w:rsidRPr="004D08E1">
        <w:t>Videncenter</w:t>
      </w:r>
      <w:proofErr w:type="spellEnd"/>
      <w:r w:rsidRPr="004D08E1">
        <w:t xml:space="preserve"> </w:t>
      </w:r>
    </w:p>
    <w:p w:rsidR="004D08E1" w:rsidRDefault="00044B3B" w:rsidP="004D08E1">
      <w:pPr>
        <w:pStyle w:val="Listeafsnit"/>
        <w:numPr>
          <w:ilvl w:val="0"/>
          <w:numId w:val="9"/>
        </w:numPr>
        <w:jc w:val="both"/>
      </w:pPr>
      <w:r>
        <w:t>Topvirk</w:t>
      </w:r>
      <w:r w:rsidRPr="004D08E1">
        <w:t xml:space="preserve"> </w:t>
      </w:r>
    </w:p>
    <w:p w:rsidR="004D08E1" w:rsidRPr="004D08E1" w:rsidRDefault="00044B3B" w:rsidP="009E2449">
      <w:pPr>
        <w:pStyle w:val="Listeafsnit"/>
        <w:numPr>
          <w:ilvl w:val="0"/>
          <w:numId w:val="9"/>
        </w:numPr>
        <w:jc w:val="both"/>
      </w:pPr>
      <w:proofErr w:type="spellStart"/>
      <w:r w:rsidRPr="004D08E1">
        <w:t>High:Five</w:t>
      </w:r>
      <w:proofErr w:type="spellEnd"/>
      <w:r w:rsidRPr="004D08E1">
        <w:t xml:space="preserve"> </w:t>
      </w:r>
    </w:p>
    <w:p w:rsidR="004D08E1" w:rsidRPr="004D08E1" w:rsidRDefault="004D08E1" w:rsidP="009E2449">
      <w:pPr>
        <w:pStyle w:val="Listeafsnit"/>
        <w:numPr>
          <w:ilvl w:val="0"/>
          <w:numId w:val="9"/>
        </w:numPr>
        <w:jc w:val="both"/>
      </w:pPr>
      <w:r w:rsidRPr="00044B3B">
        <w:t>Vold som udtryksform</w:t>
      </w:r>
      <w:r w:rsidR="00F3472F">
        <w:t>.</w:t>
      </w:r>
      <w:r w:rsidR="00044B3B" w:rsidRPr="00044B3B">
        <w:t xml:space="preserve"> </w:t>
      </w:r>
    </w:p>
    <w:p w:rsidR="004D08E1" w:rsidRDefault="004D08E1" w:rsidP="00FB040A">
      <w:pPr>
        <w:jc w:val="both"/>
        <w:rPr>
          <w:sz w:val="22"/>
          <w:szCs w:val="22"/>
        </w:rPr>
      </w:pPr>
    </w:p>
    <w:p w:rsidR="009B49BB" w:rsidRDefault="00FB040A" w:rsidP="00FB04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syv projekter forlænges til og med </w:t>
      </w:r>
      <w:r w:rsidR="007726EC">
        <w:rPr>
          <w:sz w:val="22"/>
          <w:szCs w:val="22"/>
        </w:rPr>
        <w:t>2</w:t>
      </w:r>
      <w:r>
        <w:rPr>
          <w:sz w:val="22"/>
          <w:szCs w:val="22"/>
        </w:rPr>
        <w:t>. kvartal 2019</w:t>
      </w:r>
      <w:r w:rsidR="00F3472F">
        <w:rPr>
          <w:sz w:val="22"/>
          <w:szCs w:val="22"/>
        </w:rPr>
        <w:t>, jf. tabel 1 nedenfor</w:t>
      </w:r>
      <w:r w:rsidR="00DF3108">
        <w:rPr>
          <w:sz w:val="22"/>
          <w:szCs w:val="22"/>
        </w:rPr>
        <w:t xml:space="preserve">. </w:t>
      </w:r>
      <w:r w:rsidR="00DF3108" w:rsidRPr="005110BE">
        <w:rPr>
          <w:sz w:val="22"/>
          <w:szCs w:val="22"/>
        </w:rPr>
        <w:t>Aft</w:t>
      </w:r>
      <w:r w:rsidR="00DF3108" w:rsidRPr="005110BE">
        <w:rPr>
          <w:sz w:val="22"/>
          <w:szCs w:val="22"/>
        </w:rPr>
        <w:t>a</w:t>
      </w:r>
      <w:r w:rsidR="00DF3108" w:rsidRPr="005110BE">
        <w:rPr>
          <w:sz w:val="22"/>
          <w:szCs w:val="22"/>
        </w:rPr>
        <w:t>lepartierne har et fælles ønske om at sikre længerevarende finansiering af de priv</w:t>
      </w:r>
      <w:r w:rsidR="00DF3108" w:rsidRPr="005110BE">
        <w:rPr>
          <w:sz w:val="22"/>
          <w:szCs w:val="22"/>
        </w:rPr>
        <w:t>a</w:t>
      </w:r>
      <w:r w:rsidR="00DF3108" w:rsidRPr="005110BE">
        <w:rPr>
          <w:sz w:val="22"/>
          <w:szCs w:val="22"/>
        </w:rPr>
        <w:t>te projekter og forpligter sig på at drøfte det ved næste års satspuljeforhandlinger</w:t>
      </w:r>
      <w:r w:rsidR="00DF3108" w:rsidRPr="00DF3108">
        <w:rPr>
          <w:sz w:val="22"/>
          <w:szCs w:val="22"/>
        </w:rPr>
        <w:t>.</w:t>
      </w:r>
    </w:p>
    <w:p w:rsidR="00FB040A" w:rsidRDefault="00FB040A" w:rsidP="00A27033">
      <w:pPr>
        <w:rPr>
          <w:color w:val="FF0000"/>
          <w:sz w:val="22"/>
          <w:szCs w:val="22"/>
        </w:rPr>
      </w:pPr>
    </w:p>
    <w:p w:rsidR="00FB040A" w:rsidRPr="00044B3B" w:rsidRDefault="00FB040A" w:rsidP="009E2449">
      <w:pPr>
        <w:jc w:val="both"/>
        <w:rPr>
          <w:i/>
          <w:sz w:val="22"/>
          <w:szCs w:val="22"/>
        </w:rPr>
      </w:pPr>
      <w:r w:rsidRPr="00044B3B">
        <w:rPr>
          <w:i/>
          <w:sz w:val="22"/>
          <w:szCs w:val="22"/>
        </w:rPr>
        <w:t>Særlige indsatser for udsatte unge i uddannelsessystemet</w:t>
      </w:r>
    </w:p>
    <w:p w:rsidR="00044B3B" w:rsidRPr="00E454B0" w:rsidRDefault="00850B18" w:rsidP="00044B3B">
      <w:pPr>
        <w:rPr>
          <w:sz w:val="22"/>
          <w:szCs w:val="22"/>
        </w:rPr>
      </w:pPr>
      <w:r w:rsidRPr="00E454B0">
        <w:rPr>
          <w:sz w:val="22"/>
          <w:szCs w:val="22"/>
        </w:rPr>
        <w:t>Aftalepartierne er enige om at afsætte 6</w:t>
      </w:r>
      <w:r w:rsidRPr="005110BE">
        <w:rPr>
          <w:sz w:val="22"/>
          <w:szCs w:val="22"/>
        </w:rPr>
        <w:t>,0</w:t>
      </w:r>
      <w:r w:rsidRPr="00E454B0">
        <w:rPr>
          <w:sz w:val="22"/>
          <w:szCs w:val="22"/>
        </w:rPr>
        <w:t xml:space="preserve"> mio. kr. årligt i perioden 2018–2020 til at styrke inkluderende læringsmiljøer for udsatte børn og unge</w:t>
      </w:r>
      <w:r w:rsidR="00F3472F">
        <w:rPr>
          <w:sz w:val="22"/>
          <w:szCs w:val="22"/>
        </w:rPr>
        <w:t xml:space="preserve"> som opfølgning på </w:t>
      </w:r>
      <w:r w:rsidR="00044B3B" w:rsidRPr="00E454B0">
        <w:rPr>
          <w:sz w:val="22"/>
          <w:szCs w:val="22"/>
        </w:rPr>
        <w:t>anbefalinger</w:t>
      </w:r>
      <w:r w:rsidR="00F3472F">
        <w:rPr>
          <w:sz w:val="22"/>
          <w:szCs w:val="22"/>
        </w:rPr>
        <w:t xml:space="preserve">ne fra </w:t>
      </w:r>
      <w:r w:rsidR="00044B3B" w:rsidRPr="00E454B0">
        <w:rPr>
          <w:sz w:val="22"/>
          <w:szCs w:val="22"/>
        </w:rPr>
        <w:t xml:space="preserve">ekspertgruppen for inklusionseftersynet. </w:t>
      </w:r>
    </w:p>
    <w:p w:rsidR="00FB040A" w:rsidRPr="00E454B0" w:rsidRDefault="00FB040A" w:rsidP="00FB040A">
      <w:pPr>
        <w:rPr>
          <w:i/>
          <w:sz w:val="22"/>
          <w:szCs w:val="22"/>
          <w:lang w:eastAsia="en-US"/>
        </w:rPr>
      </w:pPr>
    </w:p>
    <w:p w:rsidR="00FB040A" w:rsidRPr="00044B3B" w:rsidRDefault="00FB040A" w:rsidP="00044B3B">
      <w:pPr>
        <w:rPr>
          <w:sz w:val="22"/>
          <w:szCs w:val="22"/>
        </w:rPr>
      </w:pPr>
      <w:r w:rsidRPr="00044B3B">
        <w:rPr>
          <w:sz w:val="22"/>
          <w:szCs w:val="22"/>
          <w:lang w:eastAsia="en-US"/>
        </w:rPr>
        <w:t xml:space="preserve">Aftalepartierne er enige om at afsætte </w:t>
      </w:r>
      <w:r w:rsidR="00044B3B" w:rsidRPr="00044B3B">
        <w:rPr>
          <w:sz w:val="22"/>
          <w:szCs w:val="22"/>
          <w:lang w:eastAsia="en-US"/>
        </w:rPr>
        <w:t xml:space="preserve">i alt </w:t>
      </w:r>
      <w:r w:rsidR="00535605">
        <w:rPr>
          <w:sz w:val="22"/>
          <w:szCs w:val="22"/>
          <w:lang w:eastAsia="en-US"/>
        </w:rPr>
        <w:t>207,3</w:t>
      </w:r>
      <w:r w:rsidR="00535605" w:rsidRPr="00044B3B">
        <w:rPr>
          <w:sz w:val="22"/>
          <w:szCs w:val="22"/>
          <w:lang w:eastAsia="en-US"/>
        </w:rPr>
        <w:t xml:space="preserve"> </w:t>
      </w:r>
      <w:r w:rsidR="00044B3B" w:rsidRPr="00044B3B">
        <w:rPr>
          <w:sz w:val="22"/>
          <w:szCs w:val="22"/>
          <w:lang w:eastAsia="en-US"/>
        </w:rPr>
        <w:t xml:space="preserve">mio. kr. </w:t>
      </w:r>
      <w:r w:rsidR="00FA14CC">
        <w:rPr>
          <w:sz w:val="22"/>
          <w:szCs w:val="22"/>
          <w:lang w:eastAsia="en-US"/>
        </w:rPr>
        <w:t xml:space="preserve">i perioden 2019-2021 </w:t>
      </w:r>
      <w:r w:rsidR="00044B3B" w:rsidRPr="00044B3B">
        <w:rPr>
          <w:sz w:val="22"/>
          <w:szCs w:val="22"/>
          <w:lang w:eastAsia="en-US"/>
        </w:rPr>
        <w:t>til b</w:t>
      </w:r>
      <w:r w:rsidR="00044B3B" w:rsidRPr="00044B3B">
        <w:rPr>
          <w:sz w:val="22"/>
          <w:szCs w:val="22"/>
        </w:rPr>
        <w:t>edre støtte til elever med funktionsnedsættelse</w:t>
      </w:r>
      <w:r w:rsidR="00044B3B" w:rsidRPr="00044B3B">
        <w:rPr>
          <w:sz w:val="22"/>
          <w:szCs w:val="22"/>
          <w:lang w:eastAsia="en-US"/>
        </w:rPr>
        <w:t xml:space="preserve"> samt </w:t>
      </w:r>
      <w:r w:rsidR="00044B3B" w:rsidRPr="00044B3B">
        <w:rPr>
          <w:sz w:val="22"/>
          <w:szCs w:val="22"/>
        </w:rPr>
        <w:t>til etablering af en kontak</w:t>
      </w:r>
      <w:r w:rsidR="00044B3B" w:rsidRPr="00044B3B">
        <w:rPr>
          <w:sz w:val="22"/>
          <w:szCs w:val="22"/>
        </w:rPr>
        <w:t>t</w:t>
      </w:r>
      <w:r w:rsidR="00044B3B" w:rsidRPr="00044B3B">
        <w:rPr>
          <w:sz w:val="22"/>
          <w:szCs w:val="22"/>
        </w:rPr>
        <w:t xml:space="preserve">personfunktion for unge, der har behov for støtte fra flere instanser af personlige eller sociale årsager, jf. Aftale om bedre veje til uddannelse og job. </w:t>
      </w:r>
    </w:p>
    <w:p w:rsidR="00FB040A" w:rsidRDefault="00FB040A" w:rsidP="00FB040A">
      <w:pPr>
        <w:pBdr>
          <w:top w:val="nil"/>
          <w:left w:val="nil"/>
          <w:bottom w:val="nil"/>
          <w:right w:val="nil"/>
          <w:between w:val="nil"/>
          <w:bar w:val="nil"/>
        </w:pBdr>
        <w:rPr>
          <w:i/>
          <w:sz w:val="22"/>
          <w:szCs w:val="22"/>
        </w:rPr>
      </w:pPr>
    </w:p>
    <w:p w:rsidR="00080CC9" w:rsidRPr="00080CC9" w:rsidRDefault="00080CC9" w:rsidP="00FB040A">
      <w:pPr>
        <w:rPr>
          <w:sz w:val="22"/>
          <w:szCs w:val="22"/>
        </w:rPr>
      </w:pPr>
      <w:r>
        <w:rPr>
          <w:sz w:val="22"/>
          <w:szCs w:val="22"/>
        </w:rPr>
        <w:t xml:space="preserve">Aftalepartierne er enige om at afsætte 1,5 mio. kr. i 2018 til at igangsætte en </w:t>
      </w:r>
      <w:proofErr w:type="spellStart"/>
      <w:r w:rsidR="00C91D1D">
        <w:rPr>
          <w:sz w:val="22"/>
          <w:szCs w:val="22"/>
        </w:rPr>
        <w:t>f</w:t>
      </w:r>
      <w:r w:rsidR="00C91D1D" w:rsidRPr="00C91D1D">
        <w:rPr>
          <w:sz w:val="22"/>
          <w:szCs w:val="22"/>
        </w:rPr>
        <w:t>o</w:t>
      </w:r>
      <w:r w:rsidR="00C91D1D" w:rsidRPr="00C91D1D">
        <w:rPr>
          <w:sz w:val="22"/>
          <w:szCs w:val="22"/>
        </w:rPr>
        <w:t>r</w:t>
      </w:r>
      <w:r w:rsidR="00C91D1D" w:rsidRPr="00C91D1D">
        <w:rPr>
          <w:sz w:val="22"/>
          <w:szCs w:val="22"/>
        </w:rPr>
        <w:t>ana</w:t>
      </w:r>
      <w:r w:rsidR="00C91D1D">
        <w:rPr>
          <w:sz w:val="22"/>
          <w:szCs w:val="22"/>
        </w:rPr>
        <w:t>lyse</w:t>
      </w:r>
      <w:proofErr w:type="spellEnd"/>
      <w:r>
        <w:rPr>
          <w:sz w:val="22"/>
          <w:szCs w:val="22"/>
        </w:rPr>
        <w:t xml:space="preserve">, som skal afdække behovet for forebyggende sprogindsatser </w:t>
      </w:r>
      <w:r w:rsidR="00C91D1D">
        <w:rPr>
          <w:sz w:val="22"/>
          <w:szCs w:val="22"/>
        </w:rPr>
        <w:t xml:space="preserve">for udsatte børn </w:t>
      </w:r>
      <w:r w:rsidR="00324726">
        <w:rPr>
          <w:sz w:val="22"/>
          <w:szCs w:val="22"/>
        </w:rPr>
        <w:t xml:space="preserve">af kontanthjælpsmodtagere </w:t>
      </w:r>
      <w:r>
        <w:rPr>
          <w:sz w:val="22"/>
          <w:szCs w:val="22"/>
        </w:rPr>
        <w:t>i</w:t>
      </w:r>
      <w:r w:rsidR="005C4092">
        <w:rPr>
          <w:sz w:val="22"/>
          <w:szCs w:val="22"/>
        </w:rPr>
        <w:t xml:space="preserve"> forbindelse med</w:t>
      </w:r>
      <w:r>
        <w:rPr>
          <w:sz w:val="22"/>
          <w:szCs w:val="22"/>
        </w:rPr>
        <w:t xml:space="preserve"> skolestart</w:t>
      </w:r>
      <w:r w:rsidR="00F3472F">
        <w:rPr>
          <w:sz w:val="22"/>
          <w:szCs w:val="22"/>
        </w:rPr>
        <w:t>.</w:t>
      </w:r>
    </w:p>
    <w:p w:rsidR="00FE5FCD" w:rsidRPr="00FE5FCD" w:rsidRDefault="00FE5FCD" w:rsidP="00FE5FCD">
      <w:pPr>
        <w:rPr>
          <w:sz w:val="22"/>
          <w:szCs w:val="22"/>
        </w:rPr>
      </w:pPr>
    </w:p>
    <w:p w:rsidR="00FB040A" w:rsidRPr="00044B3B" w:rsidRDefault="00FB040A" w:rsidP="00044B3B">
      <w:pPr>
        <w:rPr>
          <w:i/>
          <w:sz w:val="22"/>
          <w:szCs w:val="22"/>
        </w:rPr>
      </w:pPr>
      <w:r w:rsidRPr="00044B3B">
        <w:rPr>
          <w:i/>
          <w:sz w:val="22"/>
          <w:szCs w:val="22"/>
        </w:rPr>
        <w:t>En ordentlig veteranindsats</w:t>
      </w:r>
    </w:p>
    <w:p w:rsidR="00FB040A" w:rsidRPr="00FE5FCD" w:rsidRDefault="00FB040A" w:rsidP="00FB040A">
      <w:pPr>
        <w:rPr>
          <w:sz w:val="22"/>
          <w:szCs w:val="22"/>
        </w:rPr>
      </w:pPr>
      <w:r w:rsidRPr="00FE5FCD">
        <w:rPr>
          <w:sz w:val="22"/>
          <w:szCs w:val="22"/>
        </w:rPr>
        <w:t xml:space="preserve">Aftalepartierne er enige </w:t>
      </w:r>
      <w:r w:rsidR="00DA5D91">
        <w:rPr>
          <w:sz w:val="22"/>
          <w:szCs w:val="22"/>
        </w:rPr>
        <w:t xml:space="preserve">at </w:t>
      </w:r>
      <w:r w:rsidRPr="00FE5FCD">
        <w:rPr>
          <w:sz w:val="22"/>
          <w:szCs w:val="22"/>
        </w:rPr>
        <w:t>afsætte 22,</w:t>
      </w:r>
      <w:r w:rsidR="00535605">
        <w:rPr>
          <w:sz w:val="22"/>
          <w:szCs w:val="22"/>
        </w:rPr>
        <w:t>7</w:t>
      </w:r>
      <w:r w:rsidRPr="00FE5FCD">
        <w:rPr>
          <w:sz w:val="22"/>
          <w:szCs w:val="22"/>
        </w:rPr>
        <w:t xml:space="preserve"> mio. kr. til initiativer, der i perioden fra 2018 til 2021 skal forbedre sagsbehandlingen for veteraner og sikre, at veteranerne hurtigst muligt får den erstatning, som de har krav på. </w:t>
      </w:r>
    </w:p>
    <w:p w:rsidR="00FB040A" w:rsidRPr="00FE5FCD" w:rsidRDefault="00FB040A" w:rsidP="00FB040A">
      <w:pPr>
        <w:rPr>
          <w:sz w:val="22"/>
          <w:szCs w:val="22"/>
        </w:rPr>
      </w:pPr>
    </w:p>
    <w:p w:rsidR="00FB040A" w:rsidRDefault="00FB040A" w:rsidP="00156765">
      <w:pPr>
        <w:rPr>
          <w:sz w:val="22"/>
          <w:szCs w:val="22"/>
        </w:rPr>
      </w:pPr>
      <w:r w:rsidRPr="00277061">
        <w:rPr>
          <w:sz w:val="22"/>
          <w:szCs w:val="22"/>
        </w:rPr>
        <w:t>Aftalepartierne er enige om at afsætte 15</w:t>
      </w:r>
      <w:r w:rsidR="00850B18">
        <w:rPr>
          <w:sz w:val="22"/>
          <w:szCs w:val="22"/>
        </w:rPr>
        <w:t>,0</w:t>
      </w:r>
      <w:r w:rsidRPr="00277061">
        <w:rPr>
          <w:sz w:val="22"/>
          <w:szCs w:val="22"/>
        </w:rPr>
        <w:t xml:space="preserve"> mio. kr. i 2018 til en </w:t>
      </w:r>
      <w:r w:rsidR="006B4B39" w:rsidRPr="006B4B39">
        <w:rPr>
          <w:sz w:val="22"/>
          <w:szCs w:val="22"/>
        </w:rPr>
        <w:t xml:space="preserve">styrket </w:t>
      </w:r>
      <w:r w:rsidR="006B4B39">
        <w:rPr>
          <w:sz w:val="22"/>
          <w:szCs w:val="22"/>
        </w:rPr>
        <w:t>indsats for de danske veteraner</w:t>
      </w:r>
      <w:r w:rsidR="006B4B39" w:rsidRPr="006B4B39">
        <w:rPr>
          <w:sz w:val="22"/>
          <w:szCs w:val="22"/>
        </w:rPr>
        <w:t xml:space="preserve">. </w:t>
      </w:r>
      <w:r w:rsidR="00850B18">
        <w:rPr>
          <w:sz w:val="22"/>
          <w:szCs w:val="22"/>
        </w:rPr>
        <w:t xml:space="preserve"> </w:t>
      </w:r>
    </w:p>
    <w:p w:rsidR="00FB040A" w:rsidRPr="00740FAD" w:rsidRDefault="00FB040A" w:rsidP="00F411C4">
      <w:pPr>
        <w:jc w:val="both"/>
        <w:rPr>
          <w:sz w:val="22"/>
          <w:szCs w:val="22"/>
        </w:rPr>
      </w:pPr>
    </w:p>
    <w:p w:rsidR="00044B3B" w:rsidRDefault="000879D0" w:rsidP="000879D0">
      <w:pPr>
        <w:rPr>
          <w:sz w:val="22"/>
          <w:szCs w:val="22"/>
        </w:rPr>
      </w:pPr>
      <w:r w:rsidRPr="00740FAD">
        <w:rPr>
          <w:sz w:val="22"/>
          <w:szCs w:val="22"/>
        </w:rPr>
        <w:t>Aftalepartie</w:t>
      </w:r>
      <w:r w:rsidR="00FE5FCD">
        <w:rPr>
          <w:sz w:val="22"/>
          <w:szCs w:val="22"/>
        </w:rPr>
        <w:t>rne er enige om at disponere 125</w:t>
      </w:r>
      <w:r w:rsidR="00850B18">
        <w:rPr>
          <w:sz w:val="22"/>
          <w:szCs w:val="22"/>
        </w:rPr>
        <w:t>,0</w:t>
      </w:r>
      <w:r w:rsidRPr="00740FAD">
        <w:rPr>
          <w:sz w:val="22"/>
          <w:szCs w:val="22"/>
        </w:rPr>
        <w:t xml:space="preserve"> mio. kr. årligt </w:t>
      </w:r>
      <w:r w:rsidRPr="00740FAD" w:rsidDel="00F8051E">
        <w:rPr>
          <w:sz w:val="22"/>
          <w:szCs w:val="22"/>
        </w:rPr>
        <w:t xml:space="preserve">til </w:t>
      </w:r>
      <w:r w:rsidRPr="00740FAD">
        <w:rPr>
          <w:sz w:val="22"/>
          <w:szCs w:val="22"/>
        </w:rPr>
        <w:t xml:space="preserve">erstatning til </w:t>
      </w:r>
      <w:r w:rsidRPr="00740FAD" w:rsidDel="00F8051E">
        <w:rPr>
          <w:sz w:val="22"/>
          <w:szCs w:val="22"/>
        </w:rPr>
        <w:t>tidl</w:t>
      </w:r>
      <w:r w:rsidRPr="00740FAD" w:rsidDel="00F8051E">
        <w:rPr>
          <w:sz w:val="22"/>
          <w:szCs w:val="22"/>
        </w:rPr>
        <w:t>i</w:t>
      </w:r>
      <w:r w:rsidRPr="00740FAD" w:rsidDel="00F8051E">
        <w:rPr>
          <w:sz w:val="22"/>
          <w:szCs w:val="22"/>
        </w:rPr>
        <w:t>gere udsendte soldater, der som led i ansættelse i staten har opholdt sig i udlandet og som følge heraf er diagnosticeret med posttraumatisk belastningsreaktion (PTSD)</w:t>
      </w:r>
      <w:r w:rsidR="00156765">
        <w:rPr>
          <w:sz w:val="22"/>
          <w:szCs w:val="22"/>
        </w:rPr>
        <w:t xml:space="preserve">. </w:t>
      </w:r>
      <w:r w:rsidR="00850B18" w:rsidRPr="00850B18">
        <w:rPr>
          <w:sz w:val="22"/>
          <w:szCs w:val="22"/>
        </w:rPr>
        <w:t>Hvis erstatningsudgifterne falder til under niveauet for de samlede disp</w:t>
      </w:r>
      <w:r w:rsidR="00850B18" w:rsidRPr="00850B18">
        <w:rPr>
          <w:sz w:val="22"/>
          <w:szCs w:val="22"/>
        </w:rPr>
        <w:t>o</w:t>
      </w:r>
      <w:r w:rsidR="00850B18" w:rsidRPr="00850B18">
        <w:rPr>
          <w:sz w:val="22"/>
          <w:szCs w:val="22"/>
        </w:rPr>
        <w:t xml:space="preserve">nerede satspuljemidler til ordningen, vil de overskydende satspuljemidler </w:t>
      </w:r>
      <w:r w:rsidR="00F3472F">
        <w:rPr>
          <w:sz w:val="22"/>
          <w:szCs w:val="22"/>
        </w:rPr>
        <w:t xml:space="preserve">efter drøftelse med satspuljeforligskredsen blive </w:t>
      </w:r>
      <w:r w:rsidR="00850B18" w:rsidRPr="00850B18">
        <w:rPr>
          <w:sz w:val="22"/>
          <w:szCs w:val="22"/>
        </w:rPr>
        <w:t>udmønte</w:t>
      </w:r>
      <w:r w:rsidR="00F3472F">
        <w:rPr>
          <w:sz w:val="22"/>
          <w:szCs w:val="22"/>
        </w:rPr>
        <w:t>t</w:t>
      </w:r>
      <w:r w:rsidR="00850B18" w:rsidRPr="00850B18">
        <w:rPr>
          <w:sz w:val="22"/>
          <w:szCs w:val="22"/>
        </w:rPr>
        <w:t xml:space="preserve"> til gavn for det psykiske a</w:t>
      </w:r>
      <w:r w:rsidR="00850B18" w:rsidRPr="00850B18">
        <w:rPr>
          <w:sz w:val="22"/>
          <w:szCs w:val="22"/>
        </w:rPr>
        <w:t>r</w:t>
      </w:r>
      <w:r w:rsidR="00850B18" w:rsidRPr="00850B18">
        <w:rPr>
          <w:sz w:val="22"/>
          <w:szCs w:val="22"/>
        </w:rPr>
        <w:t>bejdsmiljø.</w:t>
      </w:r>
    </w:p>
    <w:p w:rsidR="00FE5FCD" w:rsidRDefault="00FE5FCD" w:rsidP="000879D0">
      <w:pPr>
        <w:rPr>
          <w:sz w:val="22"/>
          <w:szCs w:val="22"/>
        </w:rPr>
      </w:pPr>
    </w:p>
    <w:p w:rsidR="00C83000" w:rsidRPr="009E2449" w:rsidRDefault="00C83000" w:rsidP="00156765">
      <w:pPr>
        <w:rPr>
          <w:b/>
          <w:szCs w:val="22"/>
        </w:rPr>
      </w:pPr>
      <w:r w:rsidRPr="00156765">
        <w:rPr>
          <w:i/>
          <w:sz w:val="22"/>
          <w:szCs w:val="22"/>
        </w:rPr>
        <w:t>Livstruede syges ret til sygedagpenge</w:t>
      </w:r>
    </w:p>
    <w:p w:rsidR="00C83000" w:rsidRDefault="00C83000" w:rsidP="00C83000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Aftalepartierne er enige om at afsætte 0,9 mio. kr. årligt til </w:t>
      </w:r>
      <w:r w:rsidR="008327EB">
        <w:rPr>
          <w:sz w:val="22"/>
          <w:szCs w:val="22"/>
          <w:lang w:eastAsia="en-US"/>
        </w:rPr>
        <w:t xml:space="preserve">en </w:t>
      </w:r>
      <w:proofErr w:type="spellStart"/>
      <w:r w:rsidR="008327EB">
        <w:rPr>
          <w:sz w:val="22"/>
          <w:szCs w:val="22"/>
          <w:lang w:eastAsia="en-US"/>
        </w:rPr>
        <w:t>permanentgørelse</w:t>
      </w:r>
      <w:proofErr w:type="spellEnd"/>
      <w:r>
        <w:rPr>
          <w:sz w:val="22"/>
          <w:szCs w:val="22"/>
          <w:lang w:eastAsia="en-US"/>
        </w:rPr>
        <w:t xml:space="preserve"> af den midlertidige ordning i sygedagpengereglerne, som sikre</w:t>
      </w:r>
      <w:r w:rsidR="00F3472F">
        <w:rPr>
          <w:sz w:val="22"/>
          <w:szCs w:val="22"/>
          <w:lang w:eastAsia="en-US"/>
        </w:rPr>
        <w:t>r</w:t>
      </w:r>
      <w:r>
        <w:rPr>
          <w:sz w:val="22"/>
          <w:szCs w:val="22"/>
          <w:lang w:eastAsia="en-US"/>
        </w:rPr>
        <w:t xml:space="preserve"> </w:t>
      </w:r>
      <w:r w:rsidR="00FD024B">
        <w:rPr>
          <w:sz w:val="22"/>
          <w:szCs w:val="22"/>
          <w:lang w:eastAsia="en-US"/>
        </w:rPr>
        <w:t xml:space="preserve">borgere </w:t>
      </w:r>
      <w:r w:rsidR="00FD024B" w:rsidRPr="00AC1D09">
        <w:rPr>
          <w:sz w:val="22"/>
          <w:szCs w:val="22"/>
        </w:rPr>
        <w:t>ret</w:t>
      </w:r>
      <w:r w:rsidR="00FD024B">
        <w:rPr>
          <w:sz w:val="22"/>
          <w:szCs w:val="22"/>
        </w:rPr>
        <w:t>ten</w:t>
      </w:r>
      <w:r w:rsidR="00FD024B" w:rsidRPr="00AC1D09">
        <w:rPr>
          <w:sz w:val="22"/>
          <w:szCs w:val="22"/>
        </w:rPr>
        <w:t xml:space="preserve"> til s</w:t>
      </w:r>
      <w:r w:rsidR="00FD024B" w:rsidRPr="00AC1D09">
        <w:rPr>
          <w:sz w:val="22"/>
          <w:szCs w:val="22"/>
        </w:rPr>
        <w:t>y</w:t>
      </w:r>
      <w:r w:rsidR="00FD024B" w:rsidRPr="00AC1D09">
        <w:rPr>
          <w:sz w:val="22"/>
          <w:szCs w:val="22"/>
        </w:rPr>
        <w:t>gedagpenge</w:t>
      </w:r>
      <w:r w:rsidR="00FD024B">
        <w:rPr>
          <w:sz w:val="22"/>
          <w:szCs w:val="22"/>
        </w:rPr>
        <w:t>, hvis de har</w:t>
      </w:r>
      <w:r w:rsidR="00FD024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en livstruende og</w:t>
      </w:r>
      <w:r w:rsidRPr="00AC1D09">
        <w:rPr>
          <w:sz w:val="22"/>
          <w:szCs w:val="22"/>
        </w:rPr>
        <w:t xml:space="preserve"> alvorlig sygdom</w:t>
      </w:r>
      <w:r>
        <w:rPr>
          <w:sz w:val="22"/>
          <w:szCs w:val="22"/>
        </w:rPr>
        <w:t>.</w:t>
      </w:r>
    </w:p>
    <w:p w:rsidR="004F3294" w:rsidRDefault="004F3294" w:rsidP="009E2449">
      <w:pPr>
        <w:pStyle w:val="Opstilling-punkttegn"/>
        <w:numPr>
          <w:ilvl w:val="0"/>
          <w:numId w:val="0"/>
        </w:numPr>
        <w:rPr>
          <w:sz w:val="22"/>
          <w:szCs w:val="22"/>
        </w:rPr>
      </w:pPr>
    </w:p>
    <w:p w:rsidR="008468E9" w:rsidRPr="00156765" w:rsidRDefault="00B756BE" w:rsidP="00156765">
      <w:pPr>
        <w:rPr>
          <w:i/>
          <w:sz w:val="22"/>
          <w:szCs w:val="22"/>
        </w:rPr>
      </w:pPr>
      <w:r w:rsidRPr="00156765">
        <w:rPr>
          <w:i/>
          <w:sz w:val="22"/>
          <w:szCs w:val="22"/>
        </w:rPr>
        <w:t>Udbredelse af virksomheders sociale ansvar</w:t>
      </w:r>
    </w:p>
    <w:p w:rsidR="008468E9" w:rsidRDefault="008468E9" w:rsidP="00156765">
      <w:pPr>
        <w:rPr>
          <w:sz w:val="22"/>
          <w:szCs w:val="22"/>
        </w:rPr>
      </w:pPr>
      <w:r>
        <w:rPr>
          <w:sz w:val="22"/>
          <w:szCs w:val="22"/>
        </w:rPr>
        <w:t xml:space="preserve">Aftalepartierne er enige om at </w:t>
      </w:r>
      <w:r w:rsidRPr="005110BE">
        <w:rPr>
          <w:sz w:val="22"/>
          <w:szCs w:val="22"/>
        </w:rPr>
        <w:t xml:space="preserve">afsætte </w:t>
      </w:r>
      <w:r w:rsidR="00156765">
        <w:rPr>
          <w:sz w:val="22"/>
          <w:szCs w:val="22"/>
        </w:rPr>
        <w:t>10</w:t>
      </w:r>
      <w:r w:rsidR="00850B18">
        <w:rPr>
          <w:sz w:val="22"/>
          <w:szCs w:val="22"/>
        </w:rPr>
        <w:t>,0</w:t>
      </w:r>
      <w:r w:rsidRPr="005110BE">
        <w:rPr>
          <w:sz w:val="22"/>
          <w:szCs w:val="22"/>
        </w:rPr>
        <w:t xml:space="preserve"> mio. kr. i 2018</w:t>
      </w:r>
      <w:r w:rsidR="003A6C66">
        <w:rPr>
          <w:sz w:val="22"/>
          <w:szCs w:val="22"/>
        </w:rPr>
        <w:t>,</w:t>
      </w:r>
      <w:r w:rsidRPr="005110BE">
        <w:rPr>
          <w:sz w:val="22"/>
          <w:szCs w:val="22"/>
        </w:rPr>
        <w:t xml:space="preserve"> </w:t>
      </w:r>
      <w:r w:rsidR="00156765">
        <w:rPr>
          <w:sz w:val="22"/>
          <w:szCs w:val="22"/>
        </w:rPr>
        <w:t>5</w:t>
      </w:r>
      <w:r w:rsidR="00850B18">
        <w:rPr>
          <w:sz w:val="22"/>
          <w:szCs w:val="22"/>
        </w:rPr>
        <w:t>,0</w:t>
      </w:r>
      <w:r w:rsidR="00156765">
        <w:rPr>
          <w:sz w:val="22"/>
          <w:szCs w:val="22"/>
        </w:rPr>
        <w:t xml:space="preserve"> mio. kr. i 20</w:t>
      </w:r>
      <w:r w:rsidR="003A6C66">
        <w:rPr>
          <w:sz w:val="22"/>
          <w:szCs w:val="22"/>
        </w:rPr>
        <w:t>19 samt 1</w:t>
      </w:r>
      <w:r w:rsidR="00850B18">
        <w:rPr>
          <w:sz w:val="22"/>
          <w:szCs w:val="22"/>
        </w:rPr>
        <w:t>5,0</w:t>
      </w:r>
      <w:r w:rsidR="003A6C66">
        <w:rPr>
          <w:sz w:val="22"/>
          <w:szCs w:val="22"/>
        </w:rPr>
        <w:t xml:space="preserve"> mio. kr.</w:t>
      </w:r>
      <w:r w:rsidR="00F3472F">
        <w:rPr>
          <w:sz w:val="22"/>
          <w:szCs w:val="22"/>
        </w:rPr>
        <w:t xml:space="preserve"> årligt</w:t>
      </w:r>
      <w:r w:rsidR="003A6C66">
        <w:rPr>
          <w:sz w:val="22"/>
          <w:szCs w:val="22"/>
        </w:rPr>
        <w:t xml:space="preserve"> i 20</w:t>
      </w:r>
      <w:r w:rsidR="00156765">
        <w:rPr>
          <w:sz w:val="22"/>
          <w:szCs w:val="22"/>
        </w:rPr>
        <w:t xml:space="preserve">20 og 2021 </w:t>
      </w:r>
      <w:r w:rsidR="00F3472F">
        <w:rPr>
          <w:sz w:val="22"/>
          <w:szCs w:val="22"/>
        </w:rPr>
        <w:t xml:space="preserve">for at </w:t>
      </w:r>
      <w:r>
        <w:rPr>
          <w:sz w:val="22"/>
          <w:szCs w:val="22"/>
        </w:rPr>
        <w:t xml:space="preserve">understøtte, at virksomhederne i højere grad via virksomhedsnetværk samarbejder om at udbrede de gode erfaringer med ansættelse af udsatte borgere. </w:t>
      </w:r>
      <w:r w:rsidR="003A6C66">
        <w:rPr>
          <w:sz w:val="22"/>
          <w:szCs w:val="22"/>
        </w:rPr>
        <w:t xml:space="preserve"> </w:t>
      </w:r>
    </w:p>
    <w:p w:rsidR="00850B18" w:rsidRDefault="00850B18" w:rsidP="003A6C66">
      <w:pPr>
        <w:rPr>
          <w:i/>
          <w:sz w:val="22"/>
          <w:szCs w:val="22"/>
        </w:rPr>
      </w:pPr>
    </w:p>
    <w:p w:rsidR="00B4487A" w:rsidRDefault="007843CC" w:rsidP="003A6C66">
      <w:pPr>
        <w:rPr>
          <w:b/>
          <w:szCs w:val="22"/>
        </w:rPr>
      </w:pPr>
      <w:r w:rsidRPr="003A6C66">
        <w:rPr>
          <w:i/>
          <w:sz w:val="22"/>
          <w:szCs w:val="22"/>
        </w:rPr>
        <w:t xml:space="preserve">Finansieringsbidrag </w:t>
      </w:r>
      <w:r>
        <w:rPr>
          <w:b/>
          <w:szCs w:val="22"/>
        </w:rPr>
        <w:t xml:space="preserve"> </w:t>
      </w:r>
    </w:p>
    <w:p w:rsidR="0095393F" w:rsidRDefault="00B4487A" w:rsidP="003A6C6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Aftalepartierne er enige om at omprioritere </w:t>
      </w:r>
      <w:proofErr w:type="spellStart"/>
      <w:r w:rsidR="007843CC">
        <w:rPr>
          <w:sz w:val="22"/>
          <w:szCs w:val="22"/>
        </w:rPr>
        <w:t>uforbrugte</w:t>
      </w:r>
      <w:proofErr w:type="spellEnd"/>
      <w:r w:rsidR="007843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midler fra </w:t>
      </w:r>
      <w:r w:rsidR="006C74AF">
        <w:rPr>
          <w:sz w:val="22"/>
          <w:szCs w:val="22"/>
        </w:rPr>
        <w:t xml:space="preserve">puljen til </w:t>
      </w:r>
      <w:r>
        <w:rPr>
          <w:sz w:val="22"/>
          <w:szCs w:val="22"/>
        </w:rPr>
        <w:t>broby</w:t>
      </w:r>
      <w:r>
        <w:rPr>
          <w:sz w:val="22"/>
          <w:szCs w:val="22"/>
        </w:rPr>
        <w:t>g</w:t>
      </w:r>
      <w:r>
        <w:rPr>
          <w:sz w:val="22"/>
          <w:szCs w:val="22"/>
        </w:rPr>
        <w:t>ning</w:t>
      </w:r>
      <w:r w:rsidR="008468E9">
        <w:rPr>
          <w:sz w:val="22"/>
          <w:szCs w:val="22"/>
        </w:rPr>
        <w:t>s</w:t>
      </w:r>
      <w:r w:rsidR="006C74AF">
        <w:rPr>
          <w:sz w:val="22"/>
          <w:szCs w:val="22"/>
        </w:rPr>
        <w:t xml:space="preserve">forløb for udsatte unge </w:t>
      </w:r>
      <w:r>
        <w:rPr>
          <w:sz w:val="22"/>
          <w:szCs w:val="22"/>
        </w:rPr>
        <w:t xml:space="preserve">i 2018 på 5,5 mio. kr. Yderligere er der enighed om at omprioritere </w:t>
      </w:r>
      <w:r w:rsidR="002B6BD4">
        <w:rPr>
          <w:sz w:val="22"/>
          <w:szCs w:val="22"/>
        </w:rPr>
        <w:t>8,9</w:t>
      </w:r>
      <w:r>
        <w:rPr>
          <w:sz w:val="22"/>
          <w:szCs w:val="22"/>
        </w:rPr>
        <w:t xml:space="preserve"> mio. kr. </w:t>
      </w:r>
      <w:r w:rsidR="003A6C66">
        <w:rPr>
          <w:sz w:val="22"/>
          <w:szCs w:val="22"/>
        </w:rPr>
        <w:t>i 2018</w:t>
      </w:r>
      <w:r w:rsidR="002B6BD4">
        <w:rPr>
          <w:sz w:val="22"/>
          <w:szCs w:val="22"/>
        </w:rPr>
        <w:t>, 8</w:t>
      </w:r>
      <w:r w:rsidR="00F3472F">
        <w:rPr>
          <w:sz w:val="22"/>
          <w:szCs w:val="22"/>
        </w:rPr>
        <w:t>,0</w:t>
      </w:r>
      <w:r w:rsidR="003A6C66">
        <w:rPr>
          <w:sz w:val="22"/>
          <w:szCs w:val="22"/>
        </w:rPr>
        <w:t xml:space="preserve"> mio. kr. i 2019</w:t>
      </w:r>
      <w:r w:rsidR="002B6BD4">
        <w:rPr>
          <w:sz w:val="22"/>
          <w:szCs w:val="22"/>
        </w:rPr>
        <w:t xml:space="preserve">, 3,0 mio. kr. i 2020 og 3,0 mio. </w:t>
      </w:r>
      <w:r w:rsidR="002B6BD4">
        <w:rPr>
          <w:sz w:val="22"/>
          <w:szCs w:val="22"/>
        </w:rPr>
        <w:lastRenderedPageBreak/>
        <w:t>kr. i 2021</w:t>
      </w:r>
      <w:r w:rsidR="003A6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fra </w:t>
      </w:r>
      <w:r w:rsidR="006C74AF">
        <w:rPr>
          <w:sz w:val="22"/>
          <w:szCs w:val="22"/>
        </w:rPr>
        <w:t xml:space="preserve">puljen til </w:t>
      </w:r>
      <w:r w:rsidR="00080CC9">
        <w:rPr>
          <w:sz w:val="22"/>
          <w:szCs w:val="22"/>
        </w:rPr>
        <w:t>udvikling af den sociale indsats på det rummelige arbejd</w:t>
      </w:r>
      <w:r w:rsidR="00080CC9">
        <w:rPr>
          <w:sz w:val="22"/>
          <w:szCs w:val="22"/>
        </w:rPr>
        <w:t>s</w:t>
      </w:r>
      <w:r w:rsidR="00080CC9">
        <w:rPr>
          <w:sz w:val="22"/>
          <w:szCs w:val="22"/>
        </w:rPr>
        <w:t>marked.</w:t>
      </w:r>
      <w:r w:rsidR="00FC5563">
        <w:rPr>
          <w:sz w:val="22"/>
          <w:szCs w:val="22"/>
        </w:rPr>
        <w:t xml:space="preserve"> </w:t>
      </w:r>
    </w:p>
    <w:tbl>
      <w:tblPr>
        <w:tblW w:w="88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"/>
        <w:gridCol w:w="2552"/>
        <w:gridCol w:w="1158"/>
        <w:gridCol w:w="1112"/>
        <w:gridCol w:w="1112"/>
        <w:gridCol w:w="1112"/>
        <w:gridCol w:w="1427"/>
        <w:gridCol w:w="182"/>
      </w:tblGrid>
      <w:tr w:rsidR="00F95629" w:rsidRPr="00F95629" w:rsidTr="00B552F0">
        <w:trPr>
          <w:trHeight w:val="20"/>
        </w:trPr>
        <w:tc>
          <w:tcPr>
            <w:tcW w:w="8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  <w:tc>
          <w:tcPr>
            <w:tcW w:w="5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Tabel 1. Økonomi i satspuljeaftale for beskæftigelsesområdet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</w:pPr>
            <w:r w:rsidRPr="00F95629">
              <w:rPr>
                <w:rFonts w:ascii="Arial" w:hAnsi="Arial" w:cs="Arial"/>
                <w:b/>
                <w:bCs/>
                <w:color w:val="031D5C"/>
                <w:sz w:val="15"/>
                <w:szCs w:val="15"/>
              </w:rPr>
              <w:t> </w:t>
            </w:r>
          </w:p>
        </w:tc>
      </w:tr>
      <w:tr w:rsidR="00F95629" w:rsidRPr="00F95629" w:rsidTr="00B552F0">
        <w:trPr>
          <w:trHeight w:val="161"/>
        </w:trPr>
        <w:tc>
          <w:tcPr>
            <w:tcW w:w="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Initiativer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Permanent</w:t>
            </w: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161"/>
        </w:trPr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Flere borgere på kanten af arbejd</w:t>
            </w: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</w:t>
            </w: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markedet i job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47,2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28,7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35,6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48,5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Investering i udsatte og syge borgere på kanten af arbejdsmarkedet – Flere skal med 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0,9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35,6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48,5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Private projekter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44,7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27,8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- Seniornetværk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6,4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- Landsforeningen LEV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10,3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5,2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- Jobbanken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6,3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- Handicapidrættens </w:t>
            </w:r>
            <w:proofErr w:type="spellStart"/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Videncenter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2,8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2,7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- Topvirk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- </w:t>
            </w:r>
            <w:proofErr w:type="spellStart"/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High:five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13,2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6,6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- Vold som udtryksform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Særlig støtte til udsatte unge i uddannelse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0C4CA5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F95629"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0C4CA5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44</w:t>
            </w:r>
            <w:r w:rsidR="00F95629"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0C4CA5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90</w:t>
            </w:r>
            <w:r w:rsidR="00F95629"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84,4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84,4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Bedre støtte til elever med funktion</w:t>
            </w: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nedsættelse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18,5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44,4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44,4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44,4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 xml:space="preserve">Tildeling af kontaktperson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40,0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40,0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C4CA5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</w:tcPr>
          <w:p w:rsidR="000C4CA5" w:rsidRPr="00F95629" w:rsidRDefault="000C4CA5" w:rsidP="00F956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</w:tcPr>
          <w:p w:rsidR="000C4CA5" w:rsidRPr="00F95629" w:rsidRDefault="000C4CA5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Opfølgning på inklusionseftersynet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</w:tcPr>
          <w:p w:rsidR="000C4CA5" w:rsidRPr="00F95629" w:rsidRDefault="000C4CA5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</w:tcPr>
          <w:p w:rsidR="000C4CA5" w:rsidRPr="00F95629" w:rsidRDefault="000C4CA5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</w:tcPr>
          <w:p w:rsidR="000C4CA5" w:rsidRPr="00F95629" w:rsidRDefault="000C4CA5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</w:tcPr>
          <w:p w:rsidR="000C4CA5" w:rsidRPr="00F95629" w:rsidRDefault="000C4CA5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</w:tcPr>
          <w:p w:rsidR="000C4CA5" w:rsidRPr="00F95629" w:rsidRDefault="000C4CA5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</w:tcPr>
          <w:p w:rsidR="000C4CA5" w:rsidRPr="00F95629" w:rsidRDefault="000C4CA5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Foranalyse</w:t>
            </w:r>
            <w:proofErr w:type="spellEnd"/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 xml:space="preserve"> vedr. forebyggende spro</w:t>
            </w: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indsats til udsatte børn inden skol</w:t>
            </w: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start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En ordentlig veteranindsats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151,4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131,9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127,2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127,2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125,0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Tryghed for veteraner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2,2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2,2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Styrkelse af indsatsen for de danske veteraner - initiativer på veteranomr</w:t>
            </w:r>
            <w:r w:rsidRPr="00F95629">
              <w:rPr>
                <w:rFonts w:ascii="Arial" w:hAnsi="Arial" w:cs="Arial"/>
                <w:sz w:val="14"/>
                <w:szCs w:val="14"/>
              </w:rPr>
              <w:t>å</w:t>
            </w:r>
            <w:r w:rsidRPr="00F95629">
              <w:rPr>
                <w:rFonts w:ascii="Arial" w:hAnsi="Arial" w:cs="Arial"/>
                <w:sz w:val="14"/>
                <w:szCs w:val="14"/>
              </w:rPr>
              <w:t>det.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Erstatning til veteraner diagnosticeret med posttraumatisk belastningsreakt</w:t>
            </w:r>
            <w:r w:rsidRPr="00F95629">
              <w:rPr>
                <w:rFonts w:ascii="Arial" w:hAnsi="Arial" w:cs="Arial"/>
                <w:sz w:val="14"/>
                <w:szCs w:val="14"/>
              </w:rPr>
              <w:t>i</w:t>
            </w:r>
            <w:r w:rsidRPr="00F95629">
              <w:rPr>
                <w:rFonts w:ascii="Arial" w:hAnsi="Arial" w:cs="Arial"/>
                <w:sz w:val="14"/>
                <w:szCs w:val="14"/>
              </w:rPr>
              <w:t>on (PTSD)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125,0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125,0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125,0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125,0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125,0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Livstruede syges ret til sygeda</w:t>
            </w: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</w:t>
            </w: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penge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0,9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0,9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0,9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0,9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0,9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Livstruede syges ret til sygedagpenge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0,9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0,9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0,9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0,9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0,9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Udbredelse af virksomheders sociale ansvar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Udbredelse af virksomheders sociale ansvar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Administrationsbidrag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2,2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1,2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Omprioritering fra øvrige puljer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-8,4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-2,9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sz w:val="14"/>
                <w:szCs w:val="14"/>
              </w:rPr>
              <w:t>-8,9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Omprioritering af restmidler fra br</w:t>
            </w: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bygning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-5,5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color w:val="000000"/>
                <w:sz w:val="14"/>
                <w:szCs w:val="14"/>
              </w:rPr>
              <w:t>Omprioritering fra puljen til udvikling af den sociale indsats på det rummelige arbejdsmarked.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D0100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-</w:t>
            </w:r>
            <w:r w:rsidR="000C4CA5">
              <w:rPr>
                <w:rFonts w:ascii="Arial" w:hAnsi="Arial" w:cs="Arial"/>
                <w:sz w:val="14"/>
                <w:szCs w:val="14"/>
              </w:rPr>
              <w:t>8</w:t>
            </w:r>
            <w:r w:rsidRPr="00F95629">
              <w:rPr>
                <w:rFonts w:ascii="Arial" w:hAnsi="Arial" w:cs="Arial"/>
                <w:sz w:val="14"/>
                <w:szCs w:val="14"/>
              </w:rPr>
              <w:t>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0C4CA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-</w:t>
            </w:r>
            <w:r w:rsidR="000C4CA5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0C4CA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-</w:t>
            </w:r>
            <w:r w:rsidR="000C4CA5">
              <w:rPr>
                <w:rFonts w:ascii="Arial" w:hAnsi="Arial" w:cs="Arial"/>
                <w:sz w:val="14"/>
                <w:szCs w:val="14"/>
              </w:rPr>
              <w:t>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0C4CA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-</w:t>
            </w:r>
            <w:r w:rsidR="000C4CA5">
              <w:rPr>
                <w:rFonts w:ascii="Arial" w:hAnsi="Arial" w:cs="Arial"/>
                <w:sz w:val="14"/>
                <w:szCs w:val="14"/>
              </w:rPr>
              <w:t>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sz w:val="14"/>
                <w:szCs w:val="14"/>
              </w:rPr>
            </w:pPr>
            <w:r w:rsidRPr="00F9562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Beskæftigelsesrammen i alt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B552F0" w:rsidP="000C4CA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  <w:r w:rsidR="000C4C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r w:rsidR="00F95629"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0C4CA5" w:rsidP="000C4CA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204,4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0C4CA5" w:rsidP="000C4CA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0C4CA5" w:rsidP="000C4CA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210,3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5629" w:rsidRPr="00F95629" w:rsidTr="00B552F0">
        <w:trPr>
          <w:trHeight w:val="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9F8E0"/>
            <w:noWrap/>
            <w:vAlign w:val="center"/>
            <w:hideMark/>
          </w:tcPr>
          <w:p w:rsidR="00F95629" w:rsidRPr="00F95629" w:rsidRDefault="00F95629" w:rsidP="00F9562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56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7843CC" w:rsidRPr="00740FAD" w:rsidRDefault="007843CC" w:rsidP="003A6C66">
      <w:pPr>
        <w:jc w:val="both"/>
        <w:rPr>
          <w:i/>
          <w:sz w:val="22"/>
          <w:szCs w:val="22"/>
        </w:rPr>
      </w:pPr>
    </w:p>
    <w:sectPr w:rsidR="007843CC" w:rsidRPr="00740FAD" w:rsidSect="00214FB3">
      <w:footerReference w:type="default" r:id="rId10"/>
      <w:headerReference w:type="first" r:id="rId11"/>
      <w:pgSz w:w="11906" w:h="16838" w:code="9"/>
      <w:pgMar w:top="2778" w:right="3119" w:bottom="1247" w:left="1418" w:header="113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A9" w:rsidRDefault="004821A9" w:rsidP="005377C7">
      <w:r>
        <w:separator/>
      </w:r>
    </w:p>
  </w:endnote>
  <w:endnote w:type="continuationSeparator" w:id="0">
    <w:p w:rsidR="004821A9" w:rsidRDefault="004821A9" w:rsidP="005377C7">
      <w:r>
        <w:continuationSeparator/>
      </w:r>
    </w:p>
  </w:endnote>
  <w:endnote w:type="continuationNotice" w:id="1">
    <w:p w:rsidR="004821A9" w:rsidRDefault="00482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8B5" w:rsidRDefault="005828B5" w:rsidP="005F70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2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8B5" w:rsidRDefault="005828B5" w:rsidP="005F709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A9" w:rsidRDefault="004821A9" w:rsidP="005377C7">
      <w:r>
        <w:separator/>
      </w:r>
    </w:p>
  </w:footnote>
  <w:footnote w:type="continuationSeparator" w:id="0">
    <w:p w:rsidR="004821A9" w:rsidRDefault="004821A9" w:rsidP="005377C7">
      <w:r>
        <w:continuationSeparator/>
      </w:r>
    </w:p>
  </w:footnote>
  <w:footnote w:type="continuationNotice" w:id="1">
    <w:p w:rsidR="004821A9" w:rsidRDefault="004821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=Upper(vHeaderTitel)"/>
      <w:id w:val="-1039434601"/>
      <w:showingPlcHdr/>
    </w:sdtPr>
    <w:sdtEndPr/>
    <w:sdtContent>
      <w:p w:rsidR="005828B5" w:rsidRDefault="00C56BF4" w:rsidP="00B06DCA">
        <w:pPr>
          <w:pStyle w:val="BMHeaderHeading"/>
        </w:pPr>
        <w:r>
          <w:t xml:space="preserve">     </w:t>
        </w:r>
      </w:p>
    </w:sdtContent>
  </w:sdt>
  <w:p w:rsidR="005828B5" w:rsidRDefault="005828B5">
    <w:pPr>
      <w:pStyle w:val="Sidehoved"/>
    </w:pPr>
    <w:r w:rsidRPr="002371F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0" allowOverlap="0" wp14:anchorId="4FD7BDF0" wp14:editId="229E75FC">
              <wp:simplePos x="0" y="0"/>
              <wp:positionH relativeFrom="page">
                <wp:posOffset>5925820</wp:posOffset>
              </wp:positionH>
              <wp:positionV relativeFrom="page">
                <wp:posOffset>1440180</wp:posOffset>
              </wp:positionV>
              <wp:extent cx="1440000" cy="4780800"/>
              <wp:effectExtent l="0" t="0" r="8255" b="127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478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Anvend almindelig dato?"/>
                            <w:tag w:val="?sInternalShowDokumentDato==True"/>
                            <w:id w:val="-1955236165"/>
                          </w:sdtPr>
                          <w:sdtEndPr/>
                          <w:sdtContent>
                            <w:p w:rsidR="00C56BF4" w:rsidRDefault="00C56BF4" w:rsidP="00C56BF4">
                              <w:pPr>
                                <w:pStyle w:val="BMAdr"/>
                              </w:pPr>
                              <w:r>
                                <w:t>11. november 2017</w:t>
                              </w:r>
                            </w:p>
                            <w:p w:rsidR="005828B5" w:rsidRDefault="005828B5" w:rsidP="00FF3691">
                              <w:pPr>
                                <w:pStyle w:val="BMAdr"/>
                              </w:pPr>
                            </w:p>
                            <w:p w:rsidR="005828B5" w:rsidRDefault="00AB7258" w:rsidP="00FF3691">
                              <w:pPr>
                                <w:pStyle w:val="BMAdr"/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6.6pt;margin-top:113.4pt;width:113.4pt;height:37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" o:allowincell="f" o:allowoverlap="f" filled="f" stroked="f" strokeweight=".25pt">
              <v:textbox inset="0,0,0,0">
                <w:txbxContent>
                  <w:sdt>
                    <w:sdtPr>
                      <w:alias w:val="Anvend almindelig dato?"/>
                      <w:tag w:val="?sInternalShowDokumentDato==True"/>
                      <w:id w:val="-1955236165"/>
                    </w:sdtPr>
                    <w:sdtEndPr/>
                    <w:sdtContent>
                      <w:p w:rsidR="00C56BF4" w:rsidRDefault="00C56BF4" w:rsidP="00C56BF4">
                        <w:pPr>
                          <w:pStyle w:val="BMAdr"/>
                        </w:pPr>
                        <w:r>
                          <w:t>11. november 2017</w:t>
                        </w:r>
                      </w:p>
                      <w:p w:rsidR="005828B5" w:rsidRDefault="005828B5" w:rsidP="00FF3691">
                        <w:pPr>
                          <w:pStyle w:val="BMAdr"/>
                        </w:pPr>
                      </w:p>
                      <w:p w:rsidR="005828B5" w:rsidRDefault="004821A9" w:rsidP="00FF3691">
                        <w:pPr>
                          <w:pStyle w:val="BMAdr"/>
                        </w:pP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3420F733" wp14:editId="6FB83146">
              <wp:simplePos x="0" y="0"/>
              <wp:positionH relativeFrom="page">
                <wp:posOffset>5520906</wp:posOffset>
              </wp:positionH>
              <wp:positionV relativeFrom="page">
                <wp:posOffset>327804</wp:posOffset>
              </wp:positionV>
              <wp:extent cx="1570007" cy="97478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0007" cy="974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</w:rPr>
                            <w:tag w:val="=qEnhedsInfo['Logo']"/>
                            <w:id w:val="430406225"/>
                            <w:picture/>
                          </w:sdtPr>
                          <w:sdtEndPr/>
                          <w:sdtContent>
                            <w:p w:rsidR="005828B5" w:rsidRDefault="005828B5" w:rsidP="00995576">
                              <w:r w:rsidRPr="00ED2D6D">
                                <w:rPr>
                                  <w:rFonts w:asciiTheme="minorHAnsi" w:hAnsiTheme="minorHAnsi"/>
                                  <w:noProof/>
                                </w:rPr>
                                <w:drawing>
                                  <wp:inline distT="0" distB="0" distL="0" distR="0" wp14:anchorId="216994E0" wp14:editId="6A8114E9">
                                    <wp:extent cx="874800" cy="874800"/>
                                    <wp:effectExtent l="0" t="0" r="1905" b="1905"/>
                                    <wp:docPr id="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4800" cy="87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34.7pt;margin-top:25.8pt;width:123.6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" o:allowincell="f" o:allowoverlap="f" fillcolor="white [3201]" stroked="f" strokeweight=".5pt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</w:rPr>
                      <w:tag w:val="=qEnhedsInfo['Logo']"/>
                      <w:id w:val="430406225"/>
                      <w:picture/>
                    </w:sdtPr>
                    <w:sdtEndPr/>
                    <w:sdtContent>
                      <w:p w:rsidR="005828B5" w:rsidRDefault="005828B5" w:rsidP="00995576">
                        <w:r w:rsidRPr="00ED2D6D"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 wp14:anchorId="216994E0" wp14:editId="6A8114E9">
                              <wp:extent cx="874800" cy="874800"/>
                              <wp:effectExtent l="0" t="0" r="1905" b="1905"/>
                              <wp:docPr id="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4800" cy="87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DCC9C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71844"/>
    <w:multiLevelType w:val="hybridMultilevel"/>
    <w:tmpl w:val="520C29D4"/>
    <w:lvl w:ilvl="0" w:tplc="85FA7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00DC"/>
    <w:multiLevelType w:val="hybridMultilevel"/>
    <w:tmpl w:val="D8003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4EB9"/>
    <w:multiLevelType w:val="hybridMultilevel"/>
    <w:tmpl w:val="93B4D50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98"/>
    <w:rsid w:val="00002C72"/>
    <w:rsid w:val="0000456E"/>
    <w:rsid w:val="00005398"/>
    <w:rsid w:val="00021B02"/>
    <w:rsid w:val="000268DB"/>
    <w:rsid w:val="00033C96"/>
    <w:rsid w:val="0004141D"/>
    <w:rsid w:val="00044B3B"/>
    <w:rsid w:val="00054458"/>
    <w:rsid w:val="00060FB5"/>
    <w:rsid w:val="00064652"/>
    <w:rsid w:val="00065D3C"/>
    <w:rsid w:val="00076F07"/>
    <w:rsid w:val="00080CC9"/>
    <w:rsid w:val="000879D0"/>
    <w:rsid w:val="000914A3"/>
    <w:rsid w:val="00093534"/>
    <w:rsid w:val="00093F96"/>
    <w:rsid w:val="00097C3A"/>
    <w:rsid w:val="000A05F5"/>
    <w:rsid w:val="000A152B"/>
    <w:rsid w:val="000A2048"/>
    <w:rsid w:val="000A4851"/>
    <w:rsid w:val="000A6056"/>
    <w:rsid w:val="000A6FF5"/>
    <w:rsid w:val="000B1B42"/>
    <w:rsid w:val="000B60F6"/>
    <w:rsid w:val="000B7014"/>
    <w:rsid w:val="000C0F70"/>
    <w:rsid w:val="000C3D91"/>
    <w:rsid w:val="000C4CA5"/>
    <w:rsid w:val="000D4EBC"/>
    <w:rsid w:val="000D5530"/>
    <w:rsid w:val="000D6A63"/>
    <w:rsid w:val="000E0DAD"/>
    <w:rsid w:val="000E1787"/>
    <w:rsid w:val="000E2431"/>
    <w:rsid w:val="000F4164"/>
    <w:rsid w:val="0010244E"/>
    <w:rsid w:val="00103D99"/>
    <w:rsid w:val="001106D6"/>
    <w:rsid w:val="00113A55"/>
    <w:rsid w:val="001165EA"/>
    <w:rsid w:val="00122FD2"/>
    <w:rsid w:val="0013150E"/>
    <w:rsid w:val="00133390"/>
    <w:rsid w:val="00133A48"/>
    <w:rsid w:val="001447C4"/>
    <w:rsid w:val="00145F4A"/>
    <w:rsid w:val="0015261F"/>
    <w:rsid w:val="00152B8E"/>
    <w:rsid w:val="001556E8"/>
    <w:rsid w:val="00156765"/>
    <w:rsid w:val="00171AF0"/>
    <w:rsid w:val="00172DA8"/>
    <w:rsid w:val="00174141"/>
    <w:rsid w:val="00176BBF"/>
    <w:rsid w:val="00182399"/>
    <w:rsid w:val="00183034"/>
    <w:rsid w:val="00186AE4"/>
    <w:rsid w:val="0019074D"/>
    <w:rsid w:val="00192020"/>
    <w:rsid w:val="00195C5C"/>
    <w:rsid w:val="00195ED7"/>
    <w:rsid w:val="001A4B1B"/>
    <w:rsid w:val="001A5F89"/>
    <w:rsid w:val="001B19EA"/>
    <w:rsid w:val="001B444E"/>
    <w:rsid w:val="001C1117"/>
    <w:rsid w:val="001C2785"/>
    <w:rsid w:val="001C4BE0"/>
    <w:rsid w:val="001C521C"/>
    <w:rsid w:val="001C75D9"/>
    <w:rsid w:val="001D000E"/>
    <w:rsid w:val="001D06C0"/>
    <w:rsid w:val="001E03A0"/>
    <w:rsid w:val="001F16E2"/>
    <w:rsid w:val="001F6B36"/>
    <w:rsid w:val="00204F28"/>
    <w:rsid w:val="002149BA"/>
    <w:rsid w:val="00214FB3"/>
    <w:rsid w:val="002274F3"/>
    <w:rsid w:val="00230FEC"/>
    <w:rsid w:val="00233ED5"/>
    <w:rsid w:val="00234D00"/>
    <w:rsid w:val="00236738"/>
    <w:rsid w:val="002371FE"/>
    <w:rsid w:val="00241A8F"/>
    <w:rsid w:val="00242F24"/>
    <w:rsid w:val="00243BE1"/>
    <w:rsid w:val="0026497F"/>
    <w:rsid w:val="00267840"/>
    <w:rsid w:val="00270F21"/>
    <w:rsid w:val="0027386F"/>
    <w:rsid w:val="00276CB0"/>
    <w:rsid w:val="00281C50"/>
    <w:rsid w:val="0028579C"/>
    <w:rsid w:val="00285A20"/>
    <w:rsid w:val="00296BEB"/>
    <w:rsid w:val="002B2012"/>
    <w:rsid w:val="002B6BD4"/>
    <w:rsid w:val="002C19D0"/>
    <w:rsid w:val="002D61B8"/>
    <w:rsid w:val="002E0205"/>
    <w:rsid w:val="002E12C5"/>
    <w:rsid w:val="002E1A80"/>
    <w:rsid w:val="002E6F19"/>
    <w:rsid w:val="002F2ABE"/>
    <w:rsid w:val="00304192"/>
    <w:rsid w:val="0030564B"/>
    <w:rsid w:val="00310010"/>
    <w:rsid w:val="00312C02"/>
    <w:rsid w:val="003216F5"/>
    <w:rsid w:val="00322BB0"/>
    <w:rsid w:val="00324726"/>
    <w:rsid w:val="003256AF"/>
    <w:rsid w:val="003270DA"/>
    <w:rsid w:val="003350C5"/>
    <w:rsid w:val="003428A3"/>
    <w:rsid w:val="00344EE9"/>
    <w:rsid w:val="00356582"/>
    <w:rsid w:val="0038640C"/>
    <w:rsid w:val="003A1B12"/>
    <w:rsid w:val="003A6C66"/>
    <w:rsid w:val="003B051A"/>
    <w:rsid w:val="003B3FAB"/>
    <w:rsid w:val="003C126E"/>
    <w:rsid w:val="003C28A7"/>
    <w:rsid w:val="003C30F7"/>
    <w:rsid w:val="003C50E1"/>
    <w:rsid w:val="003D6D0F"/>
    <w:rsid w:val="003E0811"/>
    <w:rsid w:val="003F6B9C"/>
    <w:rsid w:val="0040357B"/>
    <w:rsid w:val="0042416D"/>
    <w:rsid w:val="004249AF"/>
    <w:rsid w:val="00431A5D"/>
    <w:rsid w:val="00432934"/>
    <w:rsid w:val="004354E0"/>
    <w:rsid w:val="00445E12"/>
    <w:rsid w:val="00446EE5"/>
    <w:rsid w:val="00455EC0"/>
    <w:rsid w:val="0045634C"/>
    <w:rsid w:val="00460AC4"/>
    <w:rsid w:val="004645EA"/>
    <w:rsid w:val="00465422"/>
    <w:rsid w:val="00467852"/>
    <w:rsid w:val="0047110D"/>
    <w:rsid w:val="00471DB6"/>
    <w:rsid w:val="004812D7"/>
    <w:rsid w:val="004821A9"/>
    <w:rsid w:val="00493C42"/>
    <w:rsid w:val="004A01FD"/>
    <w:rsid w:val="004A480F"/>
    <w:rsid w:val="004B1538"/>
    <w:rsid w:val="004B194A"/>
    <w:rsid w:val="004B1B0F"/>
    <w:rsid w:val="004B40CF"/>
    <w:rsid w:val="004B6123"/>
    <w:rsid w:val="004C3D4A"/>
    <w:rsid w:val="004D08E1"/>
    <w:rsid w:val="004D283C"/>
    <w:rsid w:val="004E00EC"/>
    <w:rsid w:val="004E6088"/>
    <w:rsid w:val="004F1E70"/>
    <w:rsid w:val="004F3294"/>
    <w:rsid w:val="004F4000"/>
    <w:rsid w:val="004F7889"/>
    <w:rsid w:val="005048BD"/>
    <w:rsid w:val="00510F18"/>
    <w:rsid w:val="005110BE"/>
    <w:rsid w:val="00512B10"/>
    <w:rsid w:val="00512CF6"/>
    <w:rsid w:val="00512E15"/>
    <w:rsid w:val="00515E00"/>
    <w:rsid w:val="00520C20"/>
    <w:rsid w:val="005263E5"/>
    <w:rsid w:val="00535605"/>
    <w:rsid w:val="005377C7"/>
    <w:rsid w:val="00552CAC"/>
    <w:rsid w:val="00556DF4"/>
    <w:rsid w:val="005601C1"/>
    <w:rsid w:val="00567221"/>
    <w:rsid w:val="00571AFB"/>
    <w:rsid w:val="0057512A"/>
    <w:rsid w:val="005828B5"/>
    <w:rsid w:val="0059383E"/>
    <w:rsid w:val="005A3591"/>
    <w:rsid w:val="005B581F"/>
    <w:rsid w:val="005C4092"/>
    <w:rsid w:val="005C5B14"/>
    <w:rsid w:val="005C74A4"/>
    <w:rsid w:val="005D47F7"/>
    <w:rsid w:val="005E1773"/>
    <w:rsid w:val="005F7099"/>
    <w:rsid w:val="00625B6F"/>
    <w:rsid w:val="00632F60"/>
    <w:rsid w:val="006373C0"/>
    <w:rsid w:val="00637A94"/>
    <w:rsid w:val="006419B5"/>
    <w:rsid w:val="00643183"/>
    <w:rsid w:val="00645B0C"/>
    <w:rsid w:val="00660218"/>
    <w:rsid w:val="00660E72"/>
    <w:rsid w:val="00663ADF"/>
    <w:rsid w:val="00683B59"/>
    <w:rsid w:val="006B4B39"/>
    <w:rsid w:val="006B60A8"/>
    <w:rsid w:val="006C683B"/>
    <w:rsid w:val="006C74AF"/>
    <w:rsid w:val="006D6F0E"/>
    <w:rsid w:val="006D6FA9"/>
    <w:rsid w:val="006E7361"/>
    <w:rsid w:val="006F052A"/>
    <w:rsid w:val="006F53A8"/>
    <w:rsid w:val="00706565"/>
    <w:rsid w:val="00706CEB"/>
    <w:rsid w:val="00707ABF"/>
    <w:rsid w:val="00710571"/>
    <w:rsid w:val="00711C25"/>
    <w:rsid w:val="0071576E"/>
    <w:rsid w:val="00715FED"/>
    <w:rsid w:val="00717F62"/>
    <w:rsid w:val="00723FBE"/>
    <w:rsid w:val="00735CF0"/>
    <w:rsid w:val="007363DF"/>
    <w:rsid w:val="00740FAD"/>
    <w:rsid w:val="00755854"/>
    <w:rsid w:val="0075714A"/>
    <w:rsid w:val="007650DF"/>
    <w:rsid w:val="0076787A"/>
    <w:rsid w:val="007726EC"/>
    <w:rsid w:val="007756E1"/>
    <w:rsid w:val="00781DCC"/>
    <w:rsid w:val="00784133"/>
    <w:rsid w:val="007843CC"/>
    <w:rsid w:val="00785C4A"/>
    <w:rsid w:val="007944DD"/>
    <w:rsid w:val="007968D0"/>
    <w:rsid w:val="007B07E8"/>
    <w:rsid w:val="007C78BE"/>
    <w:rsid w:val="007D1F17"/>
    <w:rsid w:val="007D3599"/>
    <w:rsid w:val="007D370D"/>
    <w:rsid w:val="007D43B4"/>
    <w:rsid w:val="007D5020"/>
    <w:rsid w:val="007E0F33"/>
    <w:rsid w:val="007E400F"/>
    <w:rsid w:val="007E7C6D"/>
    <w:rsid w:val="007F2DB5"/>
    <w:rsid w:val="007F2EDD"/>
    <w:rsid w:val="00802799"/>
    <w:rsid w:val="008031BA"/>
    <w:rsid w:val="008067C7"/>
    <w:rsid w:val="00807AFA"/>
    <w:rsid w:val="008148EA"/>
    <w:rsid w:val="00822464"/>
    <w:rsid w:val="00823FAF"/>
    <w:rsid w:val="008264D6"/>
    <w:rsid w:val="008274E8"/>
    <w:rsid w:val="00827EC1"/>
    <w:rsid w:val="00831569"/>
    <w:rsid w:val="008327EB"/>
    <w:rsid w:val="0084231D"/>
    <w:rsid w:val="008468E9"/>
    <w:rsid w:val="00847569"/>
    <w:rsid w:val="00850802"/>
    <w:rsid w:val="00850B18"/>
    <w:rsid w:val="008532A6"/>
    <w:rsid w:val="00865C3B"/>
    <w:rsid w:val="008719A1"/>
    <w:rsid w:val="00887408"/>
    <w:rsid w:val="00896690"/>
    <w:rsid w:val="00897C9E"/>
    <w:rsid w:val="008A43A4"/>
    <w:rsid w:val="008B1C4B"/>
    <w:rsid w:val="008C0347"/>
    <w:rsid w:val="008C0C08"/>
    <w:rsid w:val="008D1537"/>
    <w:rsid w:val="008E38D8"/>
    <w:rsid w:val="008E5C8D"/>
    <w:rsid w:val="008F2844"/>
    <w:rsid w:val="008F685F"/>
    <w:rsid w:val="009114A8"/>
    <w:rsid w:val="00917DB4"/>
    <w:rsid w:val="0092484B"/>
    <w:rsid w:val="009312F8"/>
    <w:rsid w:val="00934105"/>
    <w:rsid w:val="00940A9C"/>
    <w:rsid w:val="00940E53"/>
    <w:rsid w:val="009428C2"/>
    <w:rsid w:val="009523EA"/>
    <w:rsid w:val="009534F7"/>
    <w:rsid w:val="0095393F"/>
    <w:rsid w:val="009562E8"/>
    <w:rsid w:val="00956637"/>
    <w:rsid w:val="00961E05"/>
    <w:rsid w:val="009738E1"/>
    <w:rsid w:val="00976057"/>
    <w:rsid w:val="00977056"/>
    <w:rsid w:val="00977E2B"/>
    <w:rsid w:val="009922FD"/>
    <w:rsid w:val="00995576"/>
    <w:rsid w:val="0099686B"/>
    <w:rsid w:val="009A1F35"/>
    <w:rsid w:val="009A4A38"/>
    <w:rsid w:val="009B49BB"/>
    <w:rsid w:val="009C0EA1"/>
    <w:rsid w:val="009C2ED0"/>
    <w:rsid w:val="009D1008"/>
    <w:rsid w:val="009D1A0F"/>
    <w:rsid w:val="009D30AE"/>
    <w:rsid w:val="009D3163"/>
    <w:rsid w:val="009D7812"/>
    <w:rsid w:val="009E1DC4"/>
    <w:rsid w:val="009E2449"/>
    <w:rsid w:val="009F0956"/>
    <w:rsid w:val="009F3E77"/>
    <w:rsid w:val="00A07144"/>
    <w:rsid w:val="00A21BC7"/>
    <w:rsid w:val="00A24DE1"/>
    <w:rsid w:val="00A26FF9"/>
    <w:rsid w:val="00A27033"/>
    <w:rsid w:val="00A30071"/>
    <w:rsid w:val="00A41813"/>
    <w:rsid w:val="00A54D57"/>
    <w:rsid w:val="00A5540F"/>
    <w:rsid w:val="00A55AE0"/>
    <w:rsid w:val="00A60104"/>
    <w:rsid w:val="00A70787"/>
    <w:rsid w:val="00A772DF"/>
    <w:rsid w:val="00A779E6"/>
    <w:rsid w:val="00A80EB5"/>
    <w:rsid w:val="00A835F8"/>
    <w:rsid w:val="00A85BA6"/>
    <w:rsid w:val="00A9247D"/>
    <w:rsid w:val="00A95A0D"/>
    <w:rsid w:val="00AA2578"/>
    <w:rsid w:val="00AA2BCF"/>
    <w:rsid w:val="00AA3AC9"/>
    <w:rsid w:val="00AA42E8"/>
    <w:rsid w:val="00AA4747"/>
    <w:rsid w:val="00AB7258"/>
    <w:rsid w:val="00AD78EC"/>
    <w:rsid w:val="00AE5C4D"/>
    <w:rsid w:val="00AE7301"/>
    <w:rsid w:val="00AF07F4"/>
    <w:rsid w:val="00AF4B26"/>
    <w:rsid w:val="00AF7DA0"/>
    <w:rsid w:val="00B00767"/>
    <w:rsid w:val="00B0327F"/>
    <w:rsid w:val="00B06DCA"/>
    <w:rsid w:val="00B071B4"/>
    <w:rsid w:val="00B166D7"/>
    <w:rsid w:val="00B2179F"/>
    <w:rsid w:val="00B33416"/>
    <w:rsid w:val="00B42851"/>
    <w:rsid w:val="00B4487A"/>
    <w:rsid w:val="00B44ADC"/>
    <w:rsid w:val="00B454C4"/>
    <w:rsid w:val="00B45F0F"/>
    <w:rsid w:val="00B552F0"/>
    <w:rsid w:val="00B5542E"/>
    <w:rsid w:val="00B574FD"/>
    <w:rsid w:val="00B57F55"/>
    <w:rsid w:val="00B66E3B"/>
    <w:rsid w:val="00B712AB"/>
    <w:rsid w:val="00B74DAF"/>
    <w:rsid w:val="00B756B6"/>
    <w:rsid w:val="00B756BE"/>
    <w:rsid w:val="00B80F9D"/>
    <w:rsid w:val="00B841CB"/>
    <w:rsid w:val="00B96826"/>
    <w:rsid w:val="00BA37BA"/>
    <w:rsid w:val="00BC0B59"/>
    <w:rsid w:val="00BC132C"/>
    <w:rsid w:val="00BC4DD7"/>
    <w:rsid w:val="00BC67C9"/>
    <w:rsid w:val="00C034C1"/>
    <w:rsid w:val="00C03E37"/>
    <w:rsid w:val="00C07249"/>
    <w:rsid w:val="00C16DA0"/>
    <w:rsid w:val="00C2231A"/>
    <w:rsid w:val="00C338FD"/>
    <w:rsid w:val="00C363BF"/>
    <w:rsid w:val="00C37C1B"/>
    <w:rsid w:val="00C464FB"/>
    <w:rsid w:val="00C56906"/>
    <w:rsid w:val="00C56BF4"/>
    <w:rsid w:val="00C5739F"/>
    <w:rsid w:val="00C62A94"/>
    <w:rsid w:val="00C83000"/>
    <w:rsid w:val="00C84762"/>
    <w:rsid w:val="00C84E4A"/>
    <w:rsid w:val="00C87F81"/>
    <w:rsid w:val="00C91D1D"/>
    <w:rsid w:val="00C939BC"/>
    <w:rsid w:val="00CA232C"/>
    <w:rsid w:val="00CA4118"/>
    <w:rsid w:val="00CB1EEF"/>
    <w:rsid w:val="00CC26AE"/>
    <w:rsid w:val="00CC31F8"/>
    <w:rsid w:val="00CE1AAA"/>
    <w:rsid w:val="00CE342D"/>
    <w:rsid w:val="00CE621B"/>
    <w:rsid w:val="00CF6CFE"/>
    <w:rsid w:val="00D0100D"/>
    <w:rsid w:val="00D223CE"/>
    <w:rsid w:val="00D306B4"/>
    <w:rsid w:val="00D424D9"/>
    <w:rsid w:val="00D438A1"/>
    <w:rsid w:val="00D440D1"/>
    <w:rsid w:val="00D53BBD"/>
    <w:rsid w:val="00D559D4"/>
    <w:rsid w:val="00D613E4"/>
    <w:rsid w:val="00D62A2C"/>
    <w:rsid w:val="00D64CCA"/>
    <w:rsid w:val="00D727AC"/>
    <w:rsid w:val="00D816C9"/>
    <w:rsid w:val="00D855B3"/>
    <w:rsid w:val="00D93FCE"/>
    <w:rsid w:val="00D95689"/>
    <w:rsid w:val="00D956D8"/>
    <w:rsid w:val="00D958D6"/>
    <w:rsid w:val="00D977DF"/>
    <w:rsid w:val="00DA5D91"/>
    <w:rsid w:val="00DA6052"/>
    <w:rsid w:val="00DC0166"/>
    <w:rsid w:val="00DC1A97"/>
    <w:rsid w:val="00DC7201"/>
    <w:rsid w:val="00DD2C2D"/>
    <w:rsid w:val="00DD5D61"/>
    <w:rsid w:val="00DE0F1A"/>
    <w:rsid w:val="00DF3108"/>
    <w:rsid w:val="00E05751"/>
    <w:rsid w:val="00E0785B"/>
    <w:rsid w:val="00E11FB9"/>
    <w:rsid w:val="00E13F84"/>
    <w:rsid w:val="00E162A1"/>
    <w:rsid w:val="00E16AA2"/>
    <w:rsid w:val="00E252FB"/>
    <w:rsid w:val="00E27656"/>
    <w:rsid w:val="00E300FF"/>
    <w:rsid w:val="00E30BC5"/>
    <w:rsid w:val="00E379BD"/>
    <w:rsid w:val="00E438B8"/>
    <w:rsid w:val="00E5129B"/>
    <w:rsid w:val="00E575EE"/>
    <w:rsid w:val="00E57CEE"/>
    <w:rsid w:val="00E657B2"/>
    <w:rsid w:val="00E70070"/>
    <w:rsid w:val="00E739D8"/>
    <w:rsid w:val="00E73FF9"/>
    <w:rsid w:val="00E76EAA"/>
    <w:rsid w:val="00E80524"/>
    <w:rsid w:val="00E80611"/>
    <w:rsid w:val="00E81914"/>
    <w:rsid w:val="00E853C9"/>
    <w:rsid w:val="00EB0CB4"/>
    <w:rsid w:val="00EB51CB"/>
    <w:rsid w:val="00EC1498"/>
    <w:rsid w:val="00ED2D6D"/>
    <w:rsid w:val="00EE71A5"/>
    <w:rsid w:val="00EF2CF1"/>
    <w:rsid w:val="00EF2DF1"/>
    <w:rsid w:val="00F0619A"/>
    <w:rsid w:val="00F11318"/>
    <w:rsid w:val="00F130E5"/>
    <w:rsid w:val="00F13EC6"/>
    <w:rsid w:val="00F223FB"/>
    <w:rsid w:val="00F27864"/>
    <w:rsid w:val="00F3472F"/>
    <w:rsid w:val="00F411C4"/>
    <w:rsid w:val="00F44745"/>
    <w:rsid w:val="00F50460"/>
    <w:rsid w:val="00F52A22"/>
    <w:rsid w:val="00F54600"/>
    <w:rsid w:val="00F627C6"/>
    <w:rsid w:val="00F65E04"/>
    <w:rsid w:val="00F7462F"/>
    <w:rsid w:val="00F8007B"/>
    <w:rsid w:val="00F90BA7"/>
    <w:rsid w:val="00F95629"/>
    <w:rsid w:val="00FA14CC"/>
    <w:rsid w:val="00FB040A"/>
    <w:rsid w:val="00FC325C"/>
    <w:rsid w:val="00FC43F6"/>
    <w:rsid w:val="00FC5563"/>
    <w:rsid w:val="00FD024B"/>
    <w:rsid w:val="00FD6AFC"/>
    <w:rsid w:val="00FE5FCD"/>
    <w:rsid w:val="00FE67B3"/>
    <w:rsid w:val="00FF1DD4"/>
    <w:rsid w:val="00FF3691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semiHidden="0" w:uiPriority="1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118"/>
    <w:pPr>
      <w:keepNext/>
      <w:keepLines/>
      <w:spacing w:line="260" w:lineRule="atLeast"/>
      <w:outlineLvl w:val="0"/>
    </w:pPr>
    <w:rPr>
      <w:rFonts w:ascii="Arial" w:eastAsiaTheme="majorEastAsia" w:hAnsi="Arial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A4118"/>
    <w:pPr>
      <w:keepNext/>
      <w:keepLines/>
      <w:spacing w:line="260" w:lineRule="atLeast"/>
      <w:outlineLvl w:val="1"/>
    </w:pPr>
    <w:rPr>
      <w:rFonts w:ascii="Arial" w:eastAsiaTheme="majorEastAsia" w:hAnsi="Arial" w:cstheme="majorBidi"/>
      <w:b/>
      <w:bCs/>
      <w:i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A4118"/>
    <w:pPr>
      <w:keepNext/>
      <w:keepLines/>
      <w:spacing w:line="260" w:lineRule="atLeast"/>
      <w:outlineLvl w:val="2"/>
    </w:pPr>
    <w:rPr>
      <w:rFonts w:ascii="Arial" w:eastAsiaTheme="majorEastAsia" w:hAnsi="Arial" w:cstheme="majorBidi"/>
      <w:bCs/>
      <w:i/>
      <w:sz w:val="20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118"/>
    <w:rPr>
      <w:rFonts w:ascii="Arial" w:eastAsiaTheme="majorEastAsia" w:hAnsi="Arial" w:cstheme="majorBidi"/>
      <w:b/>
      <w:sz w:val="2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link w:val="BMBrdtekstTegn"/>
    <w:rsid w:val="007C78BE"/>
    <w:pPr>
      <w:spacing w:line="260" w:lineRule="atLeast"/>
    </w:pPr>
    <w:rPr>
      <w:sz w:val="22"/>
    </w:rPr>
  </w:style>
  <w:style w:type="paragraph" w:styleId="Listeafsnit">
    <w:name w:val="List Paragraph"/>
    <w:basedOn w:val="Normal"/>
    <w:uiPriority w:val="34"/>
    <w:qFormat/>
    <w:rsid w:val="003C28A7"/>
    <w:pPr>
      <w:spacing w:line="260" w:lineRule="atLeast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customStyle="1" w:styleId="BMAdr">
    <w:name w:val="BMAdr"/>
    <w:basedOn w:val="BMBrdtekst"/>
    <w:semiHidden/>
    <w:rsid w:val="003270DA"/>
    <w:pPr>
      <w:spacing w:line="220" w:lineRule="atLeast"/>
    </w:pPr>
    <w:rPr>
      <w:rFonts w:ascii="Arial" w:hAnsi="Arial"/>
      <w:sz w:val="15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995576"/>
    <w:pPr>
      <w:spacing w:line="260" w:lineRule="atLeast"/>
    </w:pPr>
    <w:rPr>
      <w:rFonts w:ascii="Franklin Gothic Book" w:eastAsiaTheme="minorHAnsi" w:hAnsi="Franklin Gothic Book" w:cstheme="minorBidi"/>
      <w:spacing w:val="48"/>
      <w:sz w:val="32"/>
      <w:szCs w:val="2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A4118"/>
    <w:rPr>
      <w:rFonts w:ascii="Arial" w:eastAsiaTheme="majorEastAsia" w:hAnsi="Arial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A4118"/>
    <w:rPr>
      <w:rFonts w:ascii="Arial" w:eastAsiaTheme="majorEastAsia" w:hAnsi="Arial" w:cstheme="majorBidi"/>
      <w:bCs/>
      <w:i/>
      <w:sz w:val="20"/>
    </w:rPr>
  </w:style>
  <w:style w:type="paragraph" w:customStyle="1" w:styleId="BMBullets">
    <w:name w:val="BMBullets"/>
    <w:basedOn w:val="BMBrdtekst"/>
    <w:qFormat/>
    <w:rsid w:val="009D1A0F"/>
    <w:pPr>
      <w:numPr>
        <w:numId w:val="3"/>
      </w:numPr>
    </w:pPr>
  </w:style>
  <w:style w:type="paragraph" w:customStyle="1" w:styleId="DokumentOverskrift">
    <w:name w:val="DokumentOverskrift"/>
    <w:next w:val="Normal"/>
    <w:semiHidden/>
    <w:rsid w:val="00A5540F"/>
    <w:rPr>
      <w:rFonts w:ascii="Franklin Gothic Book" w:eastAsiaTheme="majorEastAsia" w:hAnsi="Franklin Gothic Book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660218"/>
    <w:pPr>
      <w:spacing w:before="120" w:after="120" w:line="260" w:lineRule="atLeast"/>
    </w:pPr>
    <w:rPr>
      <w:sz w:val="26"/>
    </w:rPr>
  </w:style>
  <w:style w:type="character" w:customStyle="1" w:styleId="BMBrdtekstTegn">
    <w:name w:val="BMBrødtekst Tegn"/>
    <w:link w:val="BMBrdtekst"/>
    <w:rsid w:val="00F411C4"/>
    <w:rPr>
      <w:rFonts w:ascii="Times New Roman" w:eastAsia="Times New Roman" w:hAnsi="Times New Roman" w:cs="Times New Roman"/>
      <w:szCs w:val="24"/>
      <w:lang w:eastAsia="da-DK"/>
    </w:rPr>
  </w:style>
  <w:style w:type="paragraph" w:customStyle="1" w:styleId="Default">
    <w:name w:val="Default"/>
    <w:rsid w:val="00F411C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27033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703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2703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1E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1E7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CE342D"/>
    <w:pPr>
      <w:numPr>
        <w:numId w:val="6"/>
      </w:numPr>
      <w:contextualSpacing/>
    </w:pPr>
  </w:style>
  <w:style w:type="paragraph" w:styleId="Korrektur">
    <w:name w:val="Revision"/>
    <w:hidden/>
    <w:uiPriority w:val="99"/>
    <w:semiHidden/>
    <w:rsid w:val="007D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semiHidden="0" w:uiPriority="1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118"/>
    <w:pPr>
      <w:keepNext/>
      <w:keepLines/>
      <w:spacing w:line="260" w:lineRule="atLeast"/>
      <w:outlineLvl w:val="0"/>
    </w:pPr>
    <w:rPr>
      <w:rFonts w:ascii="Arial" w:eastAsiaTheme="majorEastAsia" w:hAnsi="Arial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A4118"/>
    <w:pPr>
      <w:keepNext/>
      <w:keepLines/>
      <w:spacing w:line="260" w:lineRule="atLeast"/>
      <w:outlineLvl w:val="1"/>
    </w:pPr>
    <w:rPr>
      <w:rFonts w:ascii="Arial" w:eastAsiaTheme="majorEastAsia" w:hAnsi="Arial" w:cstheme="majorBidi"/>
      <w:b/>
      <w:bCs/>
      <w:i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A4118"/>
    <w:pPr>
      <w:keepNext/>
      <w:keepLines/>
      <w:spacing w:line="260" w:lineRule="atLeast"/>
      <w:outlineLvl w:val="2"/>
    </w:pPr>
    <w:rPr>
      <w:rFonts w:ascii="Arial" w:eastAsiaTheme="majorEastAsia" w:hAnsi="Arial" w:cstheme="majorBidi"/>
      <w:bCs/>
      <w:i/>
      <w:sz w:val="20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118"/>
    <w:rPr>
      <w:rFonts w:ascii="Arial" w:eastAsiaTheme="majorEastAsia" w:hAnsi="Arial" w:cstheme="majorBidi"/>
      <w:b/>
      <w:sz w:val="2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link w:val="BMBrdtekstTegn"/>
    <w:rsid w:val="007C78BE"/>
    <w:pPr>
      <w:spacing w:line="260" w:lineRule="atLeast"/>
    </w:pPr>
    <w:rPr>
      <w:sz w:val="22"/>
    </w:rPr>
  </w:style>
  <w:style w:type="paragraph" w:styleId="Listeafsnit">
    <w:name w:val="List Paragraph"/>
    <w:basedOn w:val="Normal"/>
    <w:uiPriority w:val="34"/>
    <w:qFormat/>
    <w:rsid w:val="003C28A7"/>
    <w:pPr>
      <w:spacing w:line="260" w:lineRule="atLeast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customStyle="1" w:styleId="BMAdr">
    <w:name w:val="BMAdr"/>
    <w:basedOn w:val="BMBrdtekst"/>
    <w:semiHidden/>
    <w:rsid w:val="003270DA"/>
    <w:pPr>
      <w:spacing w:line="220" w:lineRule="atLeast"/>
    </w:pPr>
    <w:rPr>
      <w:rFonts w:ascii="Arial" w:hAnsi="Arial"/>
      <w:sz w:val="15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995576"/>
    <w:pPr>
      <w:spacing w:line="260" w:lineRule="atLeast"/>
    </w:pPr>
    <w:rPr>
      <w:rFonts w:ascii="Franklin Gothic Book" w:eastAsiaTheme="minorHAnsi" w:hAnsi="Franklin Gothic Book" w:cstheme="minorBidi"/>
      <w:spacing w:val="48"/>
      <w:sz w:val="32"/>
      <w:szCs w:val="2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A4118"/>
    <w:rPr>
      <w:rFonts w:ascii="Arial" w:eastAsiaTheme="majorEastAsia" w:hAnsi="Arial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A4118"/>
    <w:rPr>
      <w:rFonts w:ascii="Arial" w:eastAsiaTheme="majorEastAsia" w:hAnsi="Arial" w:cstheme="majorBidi"/>
      <w:bCs/>
      <w:i/>
      <w:sz w:val="20"/>
    </w:rPr>
  </w:style>
  <w:style w:type="paragraph" w:customStyle="1" w:styleId="BMBullets">
    <w:name w:val="BMBullets"/>
    <w:basedOn w:val="BMBrdtekst"/>
    <w:qFormat/>
    <w:rsid w:val="009D1A0F"/>
    <w:pPr>
      <w:numPr>
        <w:numId w:val="3"/>
      </w:numPr>
    </w:pPr>
  </w:style>
  <w:style w:type="paragraph" w:customStyle="1" w:styleId="DokumentOverskrift">
    <w:name w:val="DokumentOverskrift"/>
    <w:next w:val="Normal"/>
    <w:semiHidden/>
    <w:rsid w:val="00A5540F"/>
    <w:rPr>
      <w:rFonts w:ascii="Franklin Gothic Book" w:eastAsiaTheme="majorEastAsia" w:hAnsi="Franklin Gothic Book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660218"/>
    <w:pPr>
      <w:spacing w:before="120" w:after="120" w:line="260" w:lineRule="atLeast"/>
    </w:pPr>
    <w:rPr>
      <w:sz w:val="26"/>
    </w:rPr>
  </w:style>
  <w:style w:type="character" w:customStyle="1" w:styleId="BMBrdtekstTegn">
    <w:name w:val="BMBrødtekst Tegn"/>
    <w:link w:val="BMBrdtekst"/>
    <w:rsid w:val="00F411C4"/>
    <w:rPr>
      <w:rFonts w:ascii="Times New Roman" w:eastAsia="Times New Roman" w:hAnsi="Times New Roman" w:cs="Times New Roman"/>
      <w:szCs w:val="24"/>
      <w:lang w:eastAsia="da-DK"/>
    </w:rPr>
  </w:style>
  <w:style w:type="paragraph" w:customStyle="1" w:styleId="Default">
    <w:name w:val="Default"/>
    <w:rsid w:val="00F411C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27033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703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2703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1E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1E7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CE342D"/>
    <w:pPr>
      <w:numPr>
        <w:numId w:val="6"/>
      </w:numPr>
      <w:contextualSpacing/>
    </w:pPr>
  </w:style>
  <w:style w:type="paragraph" w:styleId="Korrektur">
    <w:name w:val="Revision"/>
    <w:hidden/>
    <w:uiPriority w:val="99"/>
    <w:semiHidden/>
    <w:rsid w:val="007D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4963\AppData\Local\cBrain\F2\.tmp\7c32fe00-1b57-4472-a48d-3f0c3ebcdb3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2C5C193071452B8E45EBC471EC2F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611A47-FFDE-4115-A883-39EEAB6843D7}"/>
      </w:docPartPr>
      <w:docPartBody>
        <w:p w:rsidR="00675503" w:rsidRDefault="00024E3D">
          <w:pPr>
            <w:pStyle w:val="ED2C5C193071452B8E45EBC471EC2FFA"/>
          </w:pPr>
          <w:r w:rsidRPr="002D4AB9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3D"/>
    <w:rsid w:val="00024E3D"/>
    <w:rsid w:val="00054A94"/>
    <w:rsid w:val="000A0F7C"/>
    <w:rsid w:val="000B056D"/>
    <w:rsid w:val="001261DF"/>
    <w:rsid w:val="001433DA"/>
    <w:rsid w:val="001B058A"/>
    <w:rsid w:val="001B25FE"/>
    <w:rsid w:val="001C425D"/>
    <w:rsid w:val="001E7A13"/>
    <w:rsid w:val="00253F27"/>
    <w:rsid w:val="002B3424"/>
    <w:rsid w:val="003B12D3"/>
    <w:rsid w:val="0047427E"/>
    <w:rsid w:val="00503A25"/>
    <w:rsid w:val="0051576A"/>
    <w:rsid w:val="00540553"/>
    <w:rsid w:val="005C17CB"/>
    <w:rsid w:val="00637DFE"/>
    <w:rsid w:val="00675503"/>
    <w:rsid w:val="00753DB1"/>
    <w:rsid w:val="007B7B79"/>
    <w:rsid w:val="007C3D26"/>
    <w:rsid w:val="007D0053"/>
    <w:rsid w:val="00832708"/>
    <w:rsid w:val="008830BB"/>
    <w:rsid w:val="008F66AD"/>
    <w:rsid w:val="00930C09"/>
    <w:rsid w:val="00963C7C"/>
    <w:rsid w:val="00982A66"/>
    <w:rsid w:val="009E42E7"/>
    <w:rsid w:val="00A4753B"/>
    <w:rsid w:val="00A903B6"/>
    <w:rsid w:val="00AD526E"/>
    <w:rsid w:val="00B93BEB"/>
    <w:rsid w:val="00C2621B"/>
    <w:rsid w:val="00C5220F"/>
    <w:rsid w:val="00C82544"/>
    <w:rsid w:val="00CB38C3"/>
    <w:rsid w:val="00D6228A"/>
    <w:rsid w:val="00E122B2"/>
    <w:rsid w:val="00E828E8"/>
    <w:rsid w:val="00E917D3"/>
    <w:rsid w:val="00EE600E"/>
    <w:rsid w:val="00F03D52"/>
    <w:rsid w:val="00FB24DB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D2C5C193071452B8E45EBC471EC2FFA">
    <w:name w:val="ED2C5C193071452B8E45EBC471EC2F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D2C5C193071452B8E45EBC471EC2FFA">
    <w:name w:val="ED2C5C193071452B8E45EBC471EC2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source=BM-SP-SQLP01.prod.sitad.dk;initial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name="FolketingAlm_DokumentDato"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name="FolketingLov_DokumentDato"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name="FolketingP20_DokumentDato"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name="DocTypeSpgSvarUdl" msdata:DataType="System.Object, mscorlib, Version=4.0.0.0, Culture=neutral, PublicKeyToken=b77a5c561934e089" type="xs:anyType" minOccurs="0" /&gt;&lt;xs:element name="DocTypeSpgSvarUdl_JNr" msdata:DataType="System.Object, mscorlib, Version=4.0.0.0, Culture=neutral, PublicKeyToken=b77a5c561934e089" type="xs:anyType" minOccurs="0" /&gt;&lt;xs:element name="DocTypeSpgSvarUdl_DokumentDato" msdata:DataType="System.Object, mscorlib, Version=4.0.0.0, Culture=neutral, PublicKeyToken=b77a5c561934e089" type="xs:anyType" minOccurs="0" /&gt;&lt;xs:element name="DocTypeSpgSvarUdl_Overskrift" msdata:DataType="System.Object, mscorlib, Version=4.0.0.0, Culture=neutral, PublicKeyToken=b77a5c561934e089" type="xs:anyType" minOccurs="0" /&gt;&lt;xs:element name="DocTypeSpgSvarUdl_Spoergsmaalnr" msdata:DataType="System.Object, mscorlib, Version=4.0.0.0, Culture=neutral, PublicKeyToken=b77a5c561934e089" type="xs:anyType" minOccurs="0" /&gt;&lt;xs:element name="DocTypeSpgSvarUdl_Spoergsmaalstiller" msdata:DataType="System.Object, mscorlib, Version=4.0.0.0, Culture=neutral, PublicKeyToken=b77a5c561934e089" type="xs:anyType" minOccurs="0" /&gt;&lt;xs:element name="DocTypeSpgSvarUdl_PolitiskEmne" msdata:DataType="System.Object, mscorlib, Version=4.0.0.0, Culture=neutral, PublicKeyToken=b77a5c561934e089" type="xs:anyType" minOccurs="0" /&gt;&lt;xs:element name="DocTypeSpgSvarUdl_Enhed"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name="DocTypeSpgSvarMin_FaktaAfsnit"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name="DocTypeTidsplan_FremsaettelsesTidspunkt" msdata:DataType="System.Object, mscorlib, Version=4.0.0.0, Culture=neutral, PublicKeyToken=b77a5c561934e089" type="xs:anyType" minOccurs="0" /&gt;&lt;xs:element name="DocTypeTidsplan_Undertitel"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name="DocTypeImplemPlan" msdata:DataType="System.Object, mscorlib, Version=4.0.0.0, Culture=neutral, PublicKeyToken=b77a5c561934e089" type="xs:anyType" minOccurs="0" /&gt;&lt;xs:element name="DocTypeImplemPlan_JNr" msdata:DataType="System.Object, mscorlib, Version=4.0.0.0, Culture=neutral, PublicKeyToken=b77a5c561934e089" type="xs:anyType" minOccurs="0" /&gt;&lt;xs:element name="DocTypeImplemPlan_DokumentDato" msdata:DataType="System.Object, mscorlib, Version=4.0.0.0, Culture=neutral, PublicKeyToken=b77a5c561934e089" type="xs:anyType" minOccurs="0" /&gt;&lt;xs:element name="DocTypeImplemPlan_Afsender" msdata:DataType="System.Object, mscorlib, Version=4.0.0.0, Culture=neutral, PublicKeyToken=b77a5c561934e089" type="xs:anyType" minOccurs="0" /&gt;&lt;xs:element name="DocTypeImplemPlan_Overskrift" msdata:DataType="System.Object, mscorlib, Version=4.0.0.0, Culture=neutral, PublicKeyToken=b77a5c561934e089" type="xs:anyType" minOccurs="0" /&gt;&lt;xs:element name="DocTypeImplemPlan_IkrafttraedDato" msdata:DataType="System.Object, mscorlib, Version=4.0.0.0, Culture=neutral, PublicKeyToken=b77a5c561934e089" type="xs:anyType" minOccurs="0" /&gt;&lt;xs:element name="DocTypeImplemPlan_Enhed"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xmlns:xsi="http://www.w3.org/2001/XMLSchema-instance"&gt;b003730&lt;/vAfsenderInitialer&gt;&lt;vHeaderTitel xsi:type="xs:string" xmlns:xs="http://www.w3.org/2001/XMLSchema" xmlns:xsi="http://www.w3.org/2001/XMLSchema-instance"&gt;Notat&lt;/vHeaderTitel&gt;&lt;vDokumentOverskrift xsi:type="xs:string" xmlns:xs="http://www.w3.org/2001/XMLSchema" xmlns:xsi="http://www.w3.org/2001/XMLSchema-instance"&gt;[Overskrift]&lt;/vDokumentOverskrift&gt;&lt;vDokumentModtager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xmlns:xsi="http://www.w3.org/2001/XMLSchema-instance"&gt;Det Nationale Forskningscenter for Arbejdsmiljø&lt;/vEnhed&gt;&lt;Main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Notat&lt;/KeyName&gt;&lt;Listname&gt;Notat&lt;/Listname&gt;&lt;Value&gt;708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2015-12-03T00:00:00+01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2015-12-03T00:00:00+01:00&lt;/Value&gt;&lt;/Values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[Overskrift]&lt;/Value&gt;&lt;/Values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/&gt;&lt;/xs:sequence&gt;&lt;/xs:complexType&gt;&lt;/xs:element&gt;&lt;/xs:choice&gt;&lt;/xs:complexType&gt;&lt;/xs:element&gt;&lt;/xs:schema&gt;&lt;Values&gt;&lt;ENNavn&gt;Det Nationale Forskningscenter for Arbejdsmiljø&lt;/ENNavn&gt;&lt;ENNo&gt;4&lt;/ENNo&gt;&lt;/Values&gt;&lt;/NewDataSet&gt;&lt;/DocTypeNotat_Enhed&gt;&lt;DocTypeNotatUK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/&gt;&lt;/NewDataSet&gt;&lt;/FolketingAlm_DokumentDato&gt;&lt;FolketingAlm_Udvalg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/&gt;&lt;/NewDataSet&gt;&lt;/FolketingLov_DokumentDato&gt;&lt;FolketingLov_Forslag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/&gt;&lt;/NewDataSet&gt;&lt;/FolketingP20_DokumentDato&gt;&lt;FolketingP20_BrevDato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/&gt;&lt;/NewDataSet&gt;&lt;/DocTypeDagsorden_Enhed&gt;&lt;DocTypeSpgSvarUdl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/&gt;&lt;/xs:sequence&gt;&lt;/xs:complexType&gt;&lt;/xs:element&gt;&lt;/xs:choice&gt;&lt;/xs:complexType&gt;&lt;/xs:element&gt;&lt;/xs:schema&gt;&lt;Values&gt;&lt;Shown&gt;false&lt;/Shown&gt;&lt;/Values&gt;&lt;/NewDataSet&gt;&lt;/DocTypeSpgSvarUdl&gt;&lt;DocTypeSpgSvarUdl_JNr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/&gt;&lt;/NewDataSet&gt;&lt;/DocTypeSpgSvarUdl_JNr&gt;&lt;DocTypeSpgSvarUdl_DokumentDato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/&gt;&lt;/NewDataSet&gt;&lt;/DocTypeSpgSvarUdl_DokumentDato&gt;&lt;DocTypeSpgSvarUdl_Overskrift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/&gt;&lt;/NewDataSet&gt;&lt;/DocTypeSpgSvarUdl_Overskrift&gt;&lt;DocTypeSpgSvarUdl_Spoergsmaalnr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/&gt;&lt;/NewDataSet&gt;&lt;/DocTypeSpgSvarUdl_Spoergsmaalnr&gt;&lt;DocTypeSpgSvarUdl_Spoergsmaalstiller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/&gt;&lt;/NewDataSet&gt;&lt;/DocTypeSpgSvarUdl_Spoergsmaalstiller&gt;&lt;DocTypeSpgSvarUdl_PolitiskEmne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/&gt;&lt;/NewDataSet&gt;&lt;/DocTypeSpgSvarUdl_PolitiskEmne&gt;&lt;DocTypeSpgSvarUdl_Enhed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/&gt;&lt;/NewDataSet&gt;&lt;/DocTypeSpgSvarMin_BaggrundAfsnit&gt;&lt;DocTypeSpgSvarMin_FaktaAfsnit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/&gt;&lt;/NewDataSet&gt;&lt;/DocTypeSpgSvarMin_FaktaAfsnit&gt;&lt;DocTypeSpgSvarMin_Enhed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/&gt;&lt;/NewDataSet&gt;&lt;/DocTypeTidsplan_Overskrift&gt;&lt;DocTypeTidsplan_FremsaettelsesTidspunkt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/&gt;&lt;/NewDataSet&gt;&lt;/DocTypeTidsplan_FremsaettelsesTidspunkt&gt;&lt;DocTypeTidsplan_Undertitel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/&gt;&lt;/NewDataSet&gt;&lt;/DocTypeTidsplan_Undertitel&gt;&lt;DocTypeTidsplan_Enhed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/&gt;&lt;/NewDataSet&gt;&lt;/DocTypeLigestilling_Enhed&gt;&lt;DocTypeImplemPlan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/&gt;&lt;/xs:sequence&gt;&lt;/xs:complexType&gt;&lt;/xs:element&gt;&lt;/xs:choice&gt;&lt;/xs:complexType&gt;&lt;/xs:element&gt;&lt;/xs:schema&gt;&lt;Values&gt;&lt;Shown&gt;false&lt;/Shown&gt;&lt;/Values&gt;&lt;/NewDataSet&gt;&lt;/DocTypeImplemPlan&gt;&lt;DocTypeImplemPlan_JNr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/&gt;&lt;/NewDataSet&gt;&lt;/DocTypeImplemPlan_JNr&gt;&lt;DocTypeImplemPlan_DokumentDato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/&gt;&lt;/NewDataSet&gt;&lt;/DocTypeImplemPlan_DokumentDato&gt;&lt;DocTypeImplemPlan_Afsender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/&gt;&lt;/NewDataSet&gt;&lt;/DocTypeImplemPlan_Afsender&gt;&lt;DocTypeImplemPlan_Overskrift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/&gt;&lt;/NewDataSet&gt;&lt;/DocTypeImplemPlan_Overskrift&gt;&lt;DocTypeImplemPlan_IkrafttraedDato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/&gt;&lt;/NewDataSet&gt;&lt;/DocTypeImplemPlan_IkrafttraedDato&gt;&lt;DocTypeImplemPlan_Enhed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CRJ&lt;/BrugerInitialer&gt;&lt;BrugerInitialerAD&gt;B003730&lt;/BrugerInitialerAD&gt;&lt;Efternavn&gt;Jensen&lt;/Efternavn&gt;&lt;email&gt;crj@bm.dk&lt;/email&gt;&lt;EnhedsNavn&gt;Digitalisering, Indkøb og Kommunikation (DIKO)&lt;/EnhedsNavn&gt;&lt;Fornavn&gt;Carsten Richter&lt;/Fornavn&gt;&lt;KontorDK&gt;Koncerncenteret&lt;/KontorDK&gt;&lt;KontorUK&gt;Steering Unit...&lt;/KontorUK&gt;&lt;Styrelsen&gt;Beskæftigelsesministeriet&lt;/Styrelsen&gt;&lt;TelefonDirekte&gt;72205165&lt;/TelefonDirekte&gt;&lt;TelefonMobil /&gt;&lt;TitelDK&gt;Specialkonsulent&lt;/TitelDK&gt;&lt;TitelUK&gt;Special Adviser&lt;/TitelUK&gt;&lt;/Values&gt;&lt;/NewDataSet&gt;&lt;/qAfsenderInfo&gt;&lt;qTemplate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uktion\Templates\BM_InternSkrivelse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/&gt;&lt;/xs:sequence&gt;&lt;/xs:complexType&gt;&lt;/xs:element&gt;&lt;/xs:choice&gt;&lt;/xs:complexType&gt;&lt;/xs:element&gt;&lt;/xs:schema&gt;&lt;Values&gt;&lt;DCNavn&gt;Peter Stensgaard Mørch&lt;/DCNavn&gt;&lt;DCTitel&gt;Departementchefen&lt;/DCTitel&gt;&lt;DCTlf&gt;+45 72 20 50 10&lt;/DCTlf&gt;&lt;MinisterNavn&gt;Jørn Neergaard Larsen&lt;/MinisterNavn&gt;&lt;MinisterSekretaerNavn&gt;Anne Birgitte Jonsson&lt;/MinisterSekretaerNavn&gt;&lt;MinisterSekretaerTitel&gt;Ministersekretæren&lt;/MinisterSekretaerTitel&gt;&lt;MinisterSekretaerTlf&gt;+45 72 20 50 01&lt;/MinisterSekretaerTlf&gt;&lt;MinisterTitel&gt;Beskæftigelsesministeren&lt;/MinisterTitel&gt;&lt;MinisterTlf&gt;+45 72 20 50 01&lt;/MinisterTlf&gt;&lt;/Values&gt;&lt;/NewDataSet&gt;&lt;/qStamdata&gt;&lt;qEnhedsInfo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/&gt;&lt;/xs:sequence&gt;&lt;/xs:complexType&gt;&lt;/xs:element&gt;&lt;/xs:choice&gt;&lt;/xs:complexType&gt;&lt;/xs:element&gt;&lt;/xs:schema&gt;&lt;Values&gt;&lt;Adresse&gt;Lersø Parkallé 105&lt;/Adresse&gt;&lt;Cvr&gt;15413700&lt;/Cvr&gt;&lt;Email&gt;nfa@arbejdsmiljoforskning.dk&lt;/Email&gt;&lt;Logo&gt;\\sit-fil0001.prod.sitad.dk\repository$\PCU2801\BM-Skabeloner\Produktion\Pictures\Forskningscenter for arbejdsmiljø_FV.jpg&lt;/Logo&gt;&lt;Navn&gt;Det Nationale Forskningscenter for Arbejdsmiljø&lt;/Navn&gt;&lt;PostNrBy&gt;2100 København Ø&lt;/PostNrBy&gt;&lt;Telefon&gt;+45 39 16 52 00&lt;/Telefon&gt;&lt;Url&gt;www.arbejdsmiljoforskning.dk&lt;/Url&gt;&lt;/Values&gt;&lt;/NewDataSet&gt;&lt;/qEnhedsInfo&gt;&lt;sAfsenderInitialer xsi:type="xs:string" xmlns:xs="http://www.w3.org/2001/XMLSchema" xmlns:xsi="http://www.w3.org/2001/XMLSchema-instance"&gt;CRJ&lt;/sAfsenderInitialer&gt;&lt;sAfsenderNavn xsi:type="xs:string" xmlns:xs="http://www.w3.org/2001/XMLSchema" xmlns:xsi="http://www.w3.org/2001/XMLSchema-instance"&gt;Carsten Richter Jensen&lt;/sAfsenderNavn&gt;&lt;sAfsenderTlfDirekte xsi:type="xs:string" xmlns:xs="http://www.w3.org/2001/XMLSchema" xmlns:xsi="http://www.w3.org/2001/XMLSchema-instance"&gt;72205165&lt;/sAfsenderTlfDirekte&gt;&lt;sAfsenderEmail xsi:type="xs:string" xmlns:xs="http://www.w3.org/2001/XMLSchema" xmlns:xsi="http://www.w3.org/2001/XMLSchema-instance"&gt;crj@bm.dk&lt;/sAfsenderEmail&gt;&lt;sAfsenderTitelDK xsi:type="xs:string" xmlns:xs="http://www.w3.org/2001/XMLSchema" xmlns:xsi="http://www.w3.org/2001/XMLSchema-instance"&gt;Specialkonsulent&lt;/sAfsenderTitelDK&gt;&lt;sAfsenderTitelUK xsi:type="xs:string" xmlns:xs="http://www.w3.org/2001/XMLSchema" xmlns:xsi="http://www.w3.org/2001/XMLSchema-instance"&gt;Special Adviser&lt;/sAfsenderTitelUK&gt;&lt;sAfsenderAfdelingDK xsi:type="xs:string" xmlns:xs="http://www.w3.org/2001/XMLSchema" xmlns:xsi="http://www.w3.org/2001/XMLSchema-instance"&gt;Koncerncenteret&lt;/sAfsenderAfdelingDK&gt;&lt;sAfsenderAfdelingUK xsi:type="xs:string" xmlns:xs="http://www.w3.org/2001/XMLSchema" xmlns:xsi="http://www.w3.org/2001/XMLSchema-instance"&gt;Steering Unit...&lt;/sAfsenderAfdelingUK&gt;&lt;sAfsenderProfil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xmlns:xsi="http://www.w3.org/2001/XMLSchema-instance"&gt;Det Nationale Forskningscenter for Arbejdsmiljø&lt;/sEnhedsNavn&gt;&lt;sEnhedsAdresse xsi:type="xs:string" xmlns:xs="http://www.w3.org/2001/XMLSchema" xmlns:xsi="http://www.w3.org/2001/XMLSchema-instance"&gt;Lersø Parkallé 105&lt;/sEnhedsAdresse&gt;&lt;sEnhedsPostnrBy xsi:type="xs:string" xmlns:xs="http://www.w3.org/2001/XMLSchema" xmlns:xsi="http://www.w3.org/2001/XMLSchema-instance"&gt;2100 København Ø&lt;/sEnhedsPostnrBy&gt;&lt;sEnhedsTlf xsi:type="xs:string" xmlns:xs="http://www.w3.org/2001/XMLSchema" xmlns:xsi="http://www.w3.org/2001/XMLSchema-instance"&gt;+45 39 16 52 00&lt;/sEnhedsTlf&gt;&lt;sEnhedsEmail xsi:type="xs:string" xmlns:xs="http://www.w3.org/2001/XMLSchema" xmlns:xsi="http://www.w3.org/2001/XMLSchema-instance"&gt;nfa@arbejdsmiljoforskning.dk&lt;/sEnhedsEmail&gt;&lt;sEnhedsUrl xsi:type="xs:string" xmlns:xs="http://www.w3.org/2001/XMLSchema" xmlns:xsi="http://www.w3.org/2001/XMLSchema-instance"&gt;www.arbejdsmiljoforskning.dk&lt;/sEnhedsUrl&gt;&lt;sEnhedsCvr xsi:type="xs:string" xmlns:xs="http://www.w3.org/2001/XMLSchema" xmlns:xsi="http://www.w3.org/2001/XMLSchema-instance"&gt;15413700&lt;/sEnhedsCvr&gt;&lt;sMinisterNavn xsi:type="xs:string" xmlns:xs="http://www.w3.org/2001/XMLSchema" xmlns:xsi="http://www.w3.org/2001/XMLSchema-instance"&gt;Jørn Neergaard Larsen&lt;/sMinisterNavn&gt;&lt;sDCNavn xsi:type="xs:string" xmlns:xs="http://www.w3.org/2001/XMLSchema" xmlns:xsi="http://www.w3.org/2001/XMLSchema-instance"&gt;Peter Stensgaard Mørch&lt;/sDCNavn&gt;&lt;sInternalShowDokumentDato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xmlns:xsi="http://www.w3.org/2001/XMLSchema-instance"&gt;December 2015&lt;/sMaanedDokumentDato&gt;&lt;/SourceData&gt;&lt;/NewDataSet&gt;</SourceTable>
</WizardState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AD5A-DC42-4355-9B3F-5FF2A3FE605C}">
  <ds:schemaRefs>
    <ds:schemaRef ds:uri="http://www.w3.org/2001/XMLSchema"/>
    <ds:schemaRef ds:uri="http://4ds.dk/TemplateManagementSystem/WizardStateMetadata.xsd"/>
  </ds:schemaRefs>
</ds:datastoreItem>
</file>

<file path=customXml/itemProps2.xml><?xml version="1.0" encoding="utf-8"?>
<ds:datastoreItem xmlns:ds="http://schemas.openxmlformats.org/officeDocument/2006/customXml" ds:itemID="{C8EE0DCF-3CBD-4101-9FBF-96601F3B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7c32fe00-1b57-4472-a48d-3f0c3ebcdb34</Template>
  <TotalTime>8</TotalTime>
  <Pages>3</Pages>
  <Words>979</Words>
  <Characters>5976</Characters>
  <Application>Microsoft Office Word</Application>
  <DocSecurity>4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4D Systems A/S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Heidemann Eriksen</dc:creator>
  <cp:lastModifiedBy>Thorleif Ravnbak</cp:lastModifiedBy>
  <cp:revision>2</cp:revision>
  <cp:lastPrinted>2017-11-03T10:14:00Z</cp:lastPrinted>
  <dcterms:created xsi:type="dcterms:W3CDTF">2017-11-11T08:18:00Z</dcterms:created>
  <dcterms:modified xsi:type="dcterms:W3CDTF">2017-11-11T08:18:00Z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